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before="156" w:beforeLines="50" w:line="500" w:lineRule="exact"/>
        <w:jc w:val="center"/>
        <w:rPr>
          <w:rFonts w:hint="eastAsia" w:ascii="宋体" w:hAnsi="宋体" w:cs="方正小标宋简体"/>
          <w:b/>
          <w:spacing w:val="-3"/>
          <w:sz w:val="36"/>
          <w:szCs w:val="36"/>
        </w:rPr>
      </w:pPr>
      <w:r>
        <w:rPr>
          <w:rFonts w:hint="eastAsia" w:ascii="宋体" w:hAnsi="宋体" w:eastAsia="宋体" w:cs="宋体"/>
        </w:rPr>
        <w:pict>
          <v:shape id="文本框 3" o:spid="_x0000_s1026" o:spt="202" type="#_x0000_t202" style="position:absolute;left:0pt;margin-left:-26.3pt;margin-top:5pt;height:110.2pt;width:461.9pt;z-index:251659264;mso-width-relative:page;mso-height-relative:page;" fillcolor="#FFFFFF"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gJoCdUAAAAKAQAADwAAAAAAAAABACAAAAAiAAAAZHJz&#10;L2Rvd25yZXYueG1sUEsBAhQAFAAAAAgAh07iQEIxa7FAAgAATAQAAA4AAAAAAAAAAQAgAAAAJAEA&#10;AGRycy9lMm9Eb2MueG1sUEsFBgAAAAAGAAYAWQEAANYFAAAAAA==&#10;">
            <v:path/>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 [20</w:t>
                  </w:r>
                  <w:r>
                    <w:rPr>
                      <w:rFonts w:hint="eastAsia" w:asciiTheme="majorEastAsia" w:hAnsiTheme="majorEastAsia" w:eastAsiaTheme="majorEastAsia" w:cstheme="majorEastAsia"/>
                      <w:sz w:val="28"/>
                      <w:szCs w:val="36"/>
                      <w:lang w:val="en-US" w:eastAsia="zh-CN"/>
                    </w:rPr>
                    <w:t>20</w:t>
                  </w:r>
                  <w:r>
                    <w:rPr>
                      <w:rFonts w:hint="eastAsia" w:asciiTheme="majorEastAsia" w:hAnsiTheme="majorEastAsia" w:eastAsiaTheme="majorEastAsia" w:cstheme="majorEastAsia"/>
                      <w:sz w:val="28"/>
                      <w:szCs w:val="36"/>
                    </w:rPr>
                    <w:t xml:space="preserve">] </w:t>
                  </w:r>
                  <w:r>
                    <w:rPr>
                      <w:rFonts w:hint="eastAsia" w:asciiTheme="majorEastAsia" w:hAnsiTheme="majorEastAsia" w:eastAsiaTheme="majorEastAsia" w:cstheme="majorEastAsia"/>
                      <w:sz w:val="28"/>
                      <w:szCs w:val="36"/>
                      <w:lang w:val="en-US" w:eastAsia="zh-CN"/>
                    </w:rPr>
                    <w:t>8</w:t>
                  </w:r>
                  <w:r>
                    <w:rPr>
                      <w:rFonts w:hint="eastAsia" w:asciiTheme="majorEastAsia" w:hAnsiTheme="majorEastAsia" w:eastAsiaTheme="majorEastAsia" w:cstheme="majorEastAsia"/>
                      <w:sz w:val="28"/>
                      <w:szCs w:val="36"/>
                    </w:rPr>
                    <w:t>号</w:t>
                  </w:r>
                </w:p>
              </w:txbxContent>
            </v:textbox>
          </v:shape>
        </w:pict>
      </w: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line="500" w:lineRule="exact"/>
        <w:jc w:val="both"/>
        <w:rPr>
          <w:rFonts w:hint="eastAsia" w:ascii="宋体" w:hAnsi="宋体" w:cs="方正小标宋简体"/>
          <w:b/>
          <w:spacing w:val="-3"/>
          <w:sz w:val="36"/>
          <w:szCs w:val="36"/>
        </w:rPr>
      </w:pPr>
    </w:p>
    <w:p>
      <w:pPr>
        <w:widowControl w:val="0"/>
        <w:adjustRightInd w:val="0"/>
        <w:snapToGrid w:val="0"/>
        <w:spacing w:before="156" w:beforeLines="50" w:line="500" w:lineRule="exact"/>
        <w:jc w:val="center"/>
        <w:rPr>
          <w:rFonts w:hint="eastAsia" w:ascii="宋体" w:hAnsi="宋体" w:cs="方正小标宋简体"/>
          <w:b/>
          <w:spacing w:val="-3"/>
          <w:sz w:val="36"/>
          <w:szCs w:val="36"/>
        </w:rPr>
      </w:pPr>
      <w:r>
        <w:rPr>
          <w:rFonts w:hint="eastAsia" w:ascii="宋体" w:hAnsi="宋体" w:cs="方正小标宋简体"/>
          <w:b/>
          <w:spacing w:val="-3"/>
          <w:sz w:val="36"/>
          <w:szCs w:val="36"/>
        </w:rPr>
        <w:t>湖北大学关于</w:t>
      </w:r>
      <w:r>
        <w:rPr>
          <w:rFonts w:hint="eastAsia" w:ascii="宋体" w:hAnsi="宋体" w:cs="方正小标宋简体"/>
          <w:b/>
          <w:sz w:val="36"/>
          <w:szCs w:val="36"/>
        </w:rPr>
        <w:t>修订</w:t>
      </w:r>
      <w:r>
        <w:rPr>
          <w:rFonts w:hint="eastAsia" w:ascii="宋体" w:hAnsi="宋体" w:cs="方正小标宋简体"/>
          <w:b/>
          <w:spacing w:val="-3"/>
          <w:sz w:val="36"/>
          <w:szCs w:val="36"/>
        </w:rPr>
        <w:t>本科专业人才培养方案修订的制度</w:t>
      </w:r>
    </w:p>
    <w:p>
      <w:pPr>
        <w:widowControl w:val="0"/>
        <w:adjustRightInd w:val="0"/>
        <w:snapToGrid w:val="0"/>
        <w:spacing w:before="156" w:beforeLines="50" w:line="500" w:lineRule="exact"/>
        <w:jc w:val="center"/>
        <w:rPr>
          <w:rFonts w:hint="eastAsia" w:ascii="宋体" w:hAnsi="宋体" w:cs="方正小标宋简体"/>
          <w:b/>
          <w:spacing w:val="-3"/>
          <w:sz w:val="36"/>
          <w:szCs w:val="36"/>
        </w:rPr>
      </w:pPr>
    </w:p>
    <w:p>
      <w:pPr>
        <w:widowControl w:val="0"/>
        <w:adjustRightInd w:val="0"/>
        <w:snapToGrid w:val="0"/>
        <w:spacing w:before="156" w:beforeLines="50"/>
        <w:ind w:firstLine="560" w:firstLineChars="200"/>
        <w:rPr>
          <w:rFonts w:ascii="宋体" w:hAnsi="宋体" w:cs="仿宋"/>
          <w:kern w:val="0"/>
          <w:sz w:val="28"/>
          <w:szCs w:val="28"/>
        </w:rPr>
      </w:pPr>
      <w:r>
        <w:rPr>
          <w:rFonts w:hint="eastAsia" w:ascii="宋体" w:hAnsi="宋体" w:cs="仿宋"/>
          <w:kern w:val="0"/>
          <w:sz w:val="28"/>
          <w:szCs w:val="28"/>
        </w:rPr>
        <w:t>本科专业人才培养方案作为高等学校人才培养的纲领性文件，是学校专业教育思想和办学理念的集中体现，是实现本科人才培养目标的具体实施方案，也是组织教学过程、实施教学管理的重要依据。为进一步深化我校教育教学改革，创新人才培养模式，服务区域社会经济发展，实现我校建设“高质量、有特色、创新型、应用型”的办学目标，特对我校现行本科专业人才培养方案提出如下修订意见。</w:t>
      </w:r>
    </w:p>
    <w:p>
      <w:pPr>
        <w:widowControl w:val="0"/>
        <w:adjustRightInd w:val="0"/>
        <w:snapToGrid w:val="0"/>
        <w:spacing w:before="156" w:beforeLines="50"/>
        <w:ind w:firstLine="562" w:firstLineChars="200"/>
        <w:rPr>
          <w:rFonts w:ascii="宋体" w:hAnsi="宋体" w:cs="仿宋"/>
          <w:kern w:val="0"/>
          <w:sz w:val="28"/>
          <w:szCs w:val="28"/>
        </w:rPr>
      </w:pPr>
      <w:r>
        <w:rPr>
          <w:rFonts w:hint="eastAsia" w:ascii="宋体" w:hAnsi="宋体" w:cs="仿宋"/>
          <w:b/>
          <w:bCs/>
          <w:kern w:val="0"/>
          <w:sz w:val="28"/>
          <w:szCs w:val="28"/>
        </w:rPr>
        <w:t>一、指导思想</w:t>
      </w:r>
    </w:p>
    <w:p>
      <w:pPr>
        <w:widowControl w:val="0"/>
        <w:adjustRightInd w:val="0"/>
        <w:snapToGrid w:val="0"/>
        <w:spacing w:before="156" w:beforeLines="50"/>
        <w:ind w:firstLine="560" w:firstLineChars="200"/>
        <w:rPr>
          <w:rFonts w:ascii="宋体" w:hAnsi="宋体" w:cs="仿宋"/>
          <w:kern w:val="0"/>
          <w:sz w:val="28"/>
          <w:szCs w:val="28"/>
        </w:rPr>
      </w:pPr>
      <w:r>
        <w:rPr>
          <w:rFonts w:hint="eastAsia" w:ascii="宋体" w:hAnsi="宋体" w:cs="仿宋"/>
          <w:kern w:val="0"/>
          <w:sz w:val="28"/>
          <w:szCs w:val="28"/>
        </w:rPr>
        <w:t>全面贯彻落实党和国家的教育方针，遵循高等教育规律和人才成长规律，以服务地方和区域社会经济发展为导向，确立个性化、应用型、创新性人才培养观念，构建专业培养与社会需求对接、课程体系与能力要求对接的人才培养模式，培养学生的创新能力、应用能力和可持续发展能力，提升学校服务地方经济社会发展的能力。</w:t>
      </w:r>
    </w:p>
    <w:p>
      <w:pPr>
        <w:widowControl w:val="0"/>
        <w:adjustRightInd w:val="0"/>
        <w:snapToGrid w:val="0"/>
        <w:ind w:firstLine="562" w:firstLineChars="200"/>
        <w:rPr>
          <w:rFonts w:ascii="宋体" w:hAnsi="宋体" w:cs="仿宋"/>
          <w:b/>
          <w:bCs/>
          <w:kern w:val="0"/>
          <w:sz w:val="28"/>
          <w:szCs w:val="28"/>
        </w:rPr>
      </w:pPr>
      <w:r>
        <w:rPr>
          <w:rFonts w:hint="eastAsia" w:ascii="宋体" w:hAnsi="宋体" w:cs="仿宋"/>
          <w:b/>
          <w:bCs/>
          <w:kern w:val="0"/>
          <w:sz w:val="28"/>
          <w:szCs w:val="28"/>
        </w:rPr>
        <w:t>二、修订原则</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人才培养方案修订要在融通学科基础的同时突出专业特色，兼顾学生的专业能力提升和个性发展需要。学院应在充分调查研究和科学论证的基础之上，根据专业人才培养目标，结合学生发展实际进行人才培养方案的修订工作。修订过程中须遵循以下原则：</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1. 坚持立德树人，注重全面发展</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要重视思想道德品质、科学文化素养与健康人格教育，重视综合基础知识的传授和创新实践能力的培养。科学制定专业人才培养目标和要求，合理规划学生的知识、能力和素质结构。打造“德、智、体、美”全面发展、“知识、能力、素质”协调发展的应用型人才。</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2. 创新培养模式，深化校企合作</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要围绕“面向地方经济建设，凝练专业教育特色，突出应用能力培养”的专业建设思想，在课程体系构建、实践基地建设、人才质量评价等方面开拓创新，深入推进协同创新，合作育人模式。主动争取行业、企业有效参与我校人才培养方案的制定以及人才培养全过程，结合行业标准确定专业人才培养规格，深化校企合作。</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3．增强计划弹性，鼓励学科交叉</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根据人才培养标准，适度压缩必修课程的总学分，提高选修课程比例，增强教学计划弹性，给学生更多自主学习空间；鼓励各学院面向全校开放本院专业课程资源，支持学生跨专业或跨学院选修课程、参加项目训练、完成学位论文。</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4. 优化课程体系，尊重个性选择</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坚持“夯实专业基础，融通核心课程，拓展方向训练，强化实践教育”的课程体系建设思想，进一步优化课程体系，推进学分制改革，扩大选修课比例。根据不同需要和面向设置不同课程模块，为学生自主选择课程模块及发展路径提供多种形式和机会，加强学生学业生涯规划和职业生涯规划的对接和引导。充分调动学生学习的主动性和积极性，在坚持统一规格培养的同时尊重个性选择，促进个性发展。</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5. 强化实践教学，培养创新能力</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按照“立足专业特色，拓展实践内容，创新实践方式、强化课外践学”的要求设置实践教学环节，将专业综合实验、课程设计、生产实习、教学实习、社会调查、毕业实习、毕业论文与社会实践、技能培训、学科竞赛、创业创新、科研训练等项目合理整合，构建课内外沟通融合的实践教学体系，促进专业教育与创新创业教育的有机融合。加强实践教学管理和大学生创新创业教育，为学生进行实践性学习、创新性实验和创业模拟活动提供全方位支持，全面提高学生的实践能力和创新创业能力。</w:t>
      </w:r>
    </w:p>
    <w:p>
      <w:pPr>
        <w:widowControl w:val="0"/>
        <w:adjustRightInd w:val="0"/>
        <w:snapToGrid w:val="0"/>
        <w:ind w:firstLine="562" w:firstLineChars="200"/>
        <w:rPr>
          <w:rFonts w:ascii="宋体" w:hAnsi="宋体" w:cs="仿宋"/>
          <w:b/>
          <w:kern w:val="0"/>
          <w:sz w:val="28"/>
          <w:szCs w:val="28"/>
        </w:rPr>
      </w:pPr>
      <w:r>
        <w:rPr>
          <w:rFonts w:hint="eastAsia" w:ascii="宋体" w:hAnsi="宋体" w:cs="仿宋"/>
          <w:b/>
          <w:kern w:val="0"/>
          <w:sz w:val="28"/>
          <w:szCs w:val="28"/>
        </w:rPr>
        <w:t>三、课程结构与设置要求</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（一）课程体系结构</w:t>
      </w:r>
    </w:p>
    <w:p>
      <w:pPr>
        <w:widowControl w:val="0"/>
        <w:adjustRightInd w:val="0"/>
        <w:snapToGrid w:val="0"/>
        <w:spacing w:after="156" w:afterLines="50"/>
        <w:jc w:val="center"/>
        <w:rPr>
          <w:rFonts w:ascii="宋体" w:hAnsi="宋体" w:cs="仿宋"/>
          <w:kern w:val="0"/>
          <w:sz w:val="28"/>
          <w:szCs w:val="28"/>
        </w:rPr>
      </w:pPr>
      <w:r>
        <w:rPr>
          <w:rFonts w:hint="eastAsia" w:ascii="宋体" w:hAnsi="宋体" w:cs="仿宋"/>
          <w:kern w:val="0"/>
          <w:sz w:val="28"/>
          <w:szCs w:val="28"/>
        </w:rPr>
        <w:t>表一  ×××专业课程体系结构图</w:t>
      </w:r>
    </w:p>
    <w:tbl>
      <w:tblPr>
        <w:tblStyle w:val="7"/>
        <w:tblW w:w="7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58"/>
        <w:gridCol w:w="1559"/>
        <w:gridCol w:w="3827"/>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6" w:hRule="exact"/>
          <w:jc w:val="center"/>
        </w:trPr>
        <w:tc>
          <w:tcPr>
            <w:tcW w:w="1258"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b/>
                <w:kern w:val="0"/>
                <w:sz w:val="24"/>
                <w:szCs w:val="24"/>
              </w:rPr>
            </w:pPr>
            <w:r>
              <w:rPr>
                <w:rFonts w:hint="eastAsia" w:ascii="宋体" w:hAnsi="宋体" w:cs="宋体"/>
                <w:b/>
                <w:kern w:val="0"/>
                <w:sz w:val="24"/>
                <w:szCs w:val="24"/>
              </w:rPr>
              <w:t>课程平台</w:t>
            </w:r>
          </w:p>
        </w:tc>
        <w:tc>
          <w:tcPr>
            <w:tcW w:w="1559" w:type="dxa"/>
            <w:vAlign w:val="center"/>
          </w:tcPr>
          <w:p>
            <w:pPr>
              <w:widowControl w:val="0"/>
              <w:spacing w:before="100" w:beforeAutospacing="1" w:after="100" w:afterAutospacing="1" w:line="240" w:lineRule="auto"/>
              <w:jc w:val="center"/>
              <w:rPr>
                <w:rFonts w:ascii="宋体" w:hAnsi="宋体" w:cs="宋体"/>
                <w:b/>
                <w:bCs/>
                <w:kern w:val="0"/>
                <w:sz w:val="24"/>
                <w:szCs w:val="24"/>
              </w:rPr>
            </w:pPr>
            <w:r>
              <w:rPr>
                <w:rFonts w:hint="eastAsia" w:ascii="宋体" w:hAnsi="宋体" w:cs="宋体"/>
                <w:b/>
                <w:kern w:val="0"/>
                <w:sz w:val="24"/>
                <w:szCs w:val="24"/>
              </w:rPr>
              <w:t>课程性质</w:t>
            </w:r>
          </w:p>
        </w:tc>
        <w:tc>
          <w:tcPr>
            <w:tcW w:w="3827" w:type="dxa"/>
            <w:vAlign w:val="center"/>
          </w:tcPr>
          <w:p>
            <w:pPr>
              <w:widowControl w:val="0"/>
              <w:spacing w:before="100" w:beforeAutospacing="1" w:after="100" w:afterAutospacing="1" w:line="240" w:lineRule="auto"/>
              <w:jc w:val="center"/>
              <w:rPr>
                <w:rFonts w:ascii="宋体" w:hAnsi="宋体" w:cs="宋体"/>
                <w:b/>
                <w:kern w:val="0"/>
                <w:sz w:val="24"/>
                <w:szCs w:val="24"/>
              </w:rPr>
            </w:pPr>
            <w:r>
              <w:rPr>
                <w:rFonts w:hint="eastAsia" w:ascii="宋体" w:hAnsi="宋体" w:cs="宋体"/>
                <w:b/>
                <w:bCs/>
                <w:kern w:val="0"/>
                <w:sz w:val="24"/>
                <w:szCs w:val="24"/>
              </w:rPr>
              <w:t>课程说明</w:t>
            </w:r>
          </w:p>
        </w:tc>
        <w:tc>
          <w:tcPr>
            <w:tcW w:w="1064" w:type="dxa"/>
            <w:vAlign w:val="center"/>
          </w:tcPr>
          <w:p>
            <w:pPr>
              <w:widowControl w:val="0"/>
              <w:spacing w:before="100" w:beforeAutospacing="1" w:after="100" w:afterAutospacing="1" w:line="240" w:lineRule="auto"/>
              <w:jc w:val="center"/>
              <w:rPr>
                <w:rFonts w:ascii="宋体" w:hAnsi="宋体" w:cs="宋体"/>
                <w:b/>
                <w:bCs/>
                <w:kern w:val="0"/>
                <w:sz w:val="24"/>
                <w:szCs w:val="24"/>
              </w:rPr>
            </w:pPr>
            <w:r>
              <w:rPr>
                <w:rFonts w:hint="eastAsia" w:ascii="宋体" w:hAnsi="宋体" w:cs="宋体"/>
                <w:b/>
                <w:bCs/>
                <w:kern w:val="0"/>
                <w:sz w:val="24"/>
                <w:szCs w:val="24"/>
              </w:rPr>
              <w:t>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25" w:hRule="exact"/>
          <w:jc w:val="center"/>
        </w:trPr>
        <w:tc>
          <w:tcPr>
            <w:tcW w:w="1258" w:type="dxa"/>
            <w:vMerge w:val="restart"/>
            <w:vAlign w:val="center"/>
          </w:tcPr>
          <w:p>
            <w:pPr>
              <w:widowControl w:val="0"/>
              <w:spacing w:line="240" w:lineRule="auto"/>
              <w:jc w:val="center"/>
              <w:rPr>
                <w:rFonts w:ascii="宋体" w:hAnsi="宋体" w:cs="宋体"/>
                <w:kern w:val="0"/>
                <w:sz w:val="24"/>
                <w:szCs w:val="24"/>
              </w:rPr>
            </w:pPr>
            <w:r>
              <w:rPr>
                <w:rFonts w:hint="eastAsia" w:ascii="宋体" w:hAnsi="宋体" w:cs="宋体"/>
                <w:kern w:val="0"/>
                <w:sz w:val="24"/>
                <w:szCs w:val="24"/>
              </w:rPr>
              <w:t>必修课程</w:t>
            </w: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bCs/>
                <w:kern w:val="0"/>
                <w:sz w:val="24"/>
                <w:szCs w:val="24"/>
              </w:rPr>
              <w:t>公共基础课程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思想政治理论、大学英语、计算机应用基础、大学体育、军事理论与训练、大学语文、大学生就业指导与创业教育、大学生心理健康教育等</w:t>
            </w:r>
          </w:p>
        </w:tc>
        <w:tc>
          <w:tcPr>
            <w:tcW w:w="1064" w:type="dxa"/>
            <w:vMerge w:val="restart"/>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专业教育课程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学科和专业基础课程、核心课程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综合训</w:t>
            </w:r>
            <w:r>
              <w:rPr>
                <w:rFonts w:hint="eastAsia" w:ascii="宋体" w:hAnsi="宋体" w:cs="仿宋"/>
                <w:kern w:val="0"/>
                <w:sz w:val="24"/>
                <w:szCs w:val="24"/>
              </w:rPr>
              <w:t>练课程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集中实践和综合素质训练课程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exact"/>
          <w:jc w:val="center"/>
        </w:trPr>
        <w:tc>
          <w:tcPr>
            <w:tcW w:w="1258" w:type="dxa"/>
            <w:vMerge w:val="restart"/>
            <w:vAlign w:val="center"/>
          </w:tcPr>
          <w:p>
            <w:pPr>
              <w:widowControl w:val="0"/>
              <w:spacing w:line="240" w:lineRule="auto"/>
              <w:jc w:val="center"/>
              <w:rPr>
                <w:rFonts w:ascii="宋体" w:hAnsi="宋体" w:cs="宋体"/>
                <w:kern w:val="0"/>
                <w:sz w:val="24"/>
                <w:szCs w:val="24"/>
              </w:rPr>
            </w:pPr>
            <w:r>
              <w:rPr>
                <w:rFonts w:hint="eastAsia" w:ascii="宋体" w:hAnsi="宋体" w:cs="宋体"/>
                <w:kern w:val="0"/>
                <w:sz w:val="24"/>
                <w:szCs w:val="24"/>
              </w:rPr>
              <w:t>选修课程</w:t>
            </w: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通识教育课程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自然科学类、人文社科类、公共艺术类、课外活动与社会实践等课程</w:t>
            </w:r>
          </w:p>
        </w:tc>
        <w:tc>
          <w:tcPr>
            <w:tcW w:w="1064" w:type="dxa"/>
            <w:vMerge w:val="restart"/>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0"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专业教育课程</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专业拓展、个性培养等课程模块</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hint="eastAsia" w:ascii="宋体" w:hAnsi="宋体" w:cs="宋体"/>
                <w:kern w:val="0"/>
                <w:sz w:val="24"/>
                <w:szCs w:val="24"/>
              </w:rPr>
              <w:t>创新创业教育</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rPr>
                <w:rFonts w:ascii="宋体" w:hAnsi="宋体" w:cs="宋体"/>
                <w:kern w:val="0"/>
                <w:sz w:val="24"/>
                <w:szCs w:val="24"/>
              </w:rPr>
            </w:pPr>
            <w:r>
              <w:rPr>
                <w:rFonts w:hint="eastAsia" w:ascii="宋体" w:hAnsi="宋体" w:cs="宋体"/>
                <w:kern w:val="0"/>
                <w:sz w:val="24"/>
                <w:szCs w:val="24"/>
              </w:rPr>
              <w:t>与专业结合的创新创业教育课程</w:t>
            </w: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258"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c>
          <w:tcPr>
            <w:tcW w:w="1559" w:type="dxa"/>
            <w:vAlign w:val="center"/>
          </w:tcPr>
          <w:p>
            <w:pPr>
              <w:widowControl w:val="0"/>
              <w:spacing w:before="100" w:beforeAutospacing="1" w:after="100" w:afterAutospacing="1" w:line="240" w:lineRule="auto"/>
              <w:jc w:val="center"/>
              <w:rPr>
                <w:rFonts w:ascii="宋体" w:hAnsi="宋体" w:cs="宋体"/>
                <w:kern w:val="0"/>
                <w:sz w:val="24"/>
                <w:szCs w:val="24"/>
              </w:rPr>
            </w:pPr>
            <w:r>
              <w:rPr>
                <w:rFonts w:ascii="宋体" w:hAnsi="宋体" w:cs="宋体"/>
                <w:kern w:val="0"/>
                <w:sz w:val="24"/>
                <w:szCs w:val="24"/>
              </w:rPr>
              <w:t>……</w:t>
            </w:r>
          </w:p>
        </w:tc>
        <w:tc>
          <w:tcPr>
            <w:tcW w:w="3827" w:type="dxa"/>
            <w:tcMar>
              <w:top w:w="0" w:type="dxa"/>
              <w:left w:w="108" w:type="dxa"/>
              <w:bottom w:w="0" w:type="dxa"/>
              <w:right w:w="108" w:type="dxa"/>
            </w:tcMar>
            <w:vAlign w:val="center"/>
          </w:tcPr>
          <w:p>
            <w:pPr>
              <w:widowControl w:val="0"/>
              <w:spacing w:before="100" w:beforeAutospacing="1" w:after="100" w:afterAutospacing="1" w:line="240" w:lineRule="auto"/>
              <w:jc w:val="center"/>
              <w:rPr>
                <w:rFonts w:ascii="宋体" w:hAnsi="宋体" w:cs="宋体"/>
                <w:kern w:val="0"/>
                <w:sz w:val="24"/>
                <w:szCs w:val="24"/>
              </w:rPr>
            </w:pPr>
          </w:p>
        </w:tc>
        <w:tc>
          <w:tcPr>
            <w:tcW w:w="1064" w:type="dxa"/>
            <w:vMerge w:val="continue"/>
            <w:vAlign w:val="center"/>
          </w:tcPr>
          <w:p>
            <w:pPr>
              <w:widowControl w:val="0"/>
              <w:spacing w:before="100" w:beforeAutospacing="1" w:after="100" w:afterAutospacing="1" w:line="240" w:lineRule="auto"/>
              <w:jc w:val="center"/>
              <w:rPr>
                <w:rFonts w:ascii="宋体" w:hAnsi="宋体" w:cs="宋体"/>
                <w:kern w:val="0"/>
                <w:sz w:val="24"/>
                <w:szCs w:val="24"/>
              </w:rPr>
            </w:pPr>
          </w:p>
        </w:tc>
      </w:tr>
    </w:tbl>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（二）课程设置要求</w:t>
      </w:r>
    </w:p>
    <w:p>
      <w:pPr>
        <w:widowControl w:val="0"/>
        <w:adjustRightInd w:val="0"/>
        <w:snapToGrid w:val="0"/>
        <w:spacing w:line="516" w:lineRule="atLeast"/>
        <w:ind w:firstLine="560" w:firstLineChars="200"/>
        <w:rPr>
          <w:rFonts w:ascii="宋体" w:cs="仿宋"/>
          <w:kern w:val="0"/>
          <w:sz w:val="28"/>
          <w:szCs w:val="28"/>
        </w:rPr>
      </w:pPr>
      <w:r>
        <w:rPr>
          <w:rFonts w:ascii="宋体" w:hAnsi="宋体" w:cs="仿宋"/>
          <w:kern w:val="0"/>
          <w:sz w:val="28"/>
          <w:szCs w:val="28"/>
        </w:rPr>
        <w:t>1.</w:t>
      </w:r>
      <w:r>
        <w:rPr>
          <w:rFonts w:hint="eastAsia" w:ascii="宋体" w:hAnsi="宋体" w:cs="仿宋"/>
          <w:kern w:val="0"/>
          <w:sz w:val="28"/>
          <w:szCs w:val="28"/>
        </w:rPr>
        <w:t>必修课程平台</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必修课程平台由公共基础课程、专业教育课程和综合训练课程组成。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公共基础课程主要由思想政治理论、大学英语、大学体育、军事理论与训练、大学生就业指导与职业生涯规划、创业基础和大学生心理健康教育等课程组成。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专业教育课程主要由专业基础课程模块和专业核心课程模块组成，专业基础课程模块分为学科基础课程和专业基础课程。以学生学习本学科基础知识为目标，课程内容强调基础性，旨在落实“厚基础、宽口径”的培养目标及要求；专业核心课程模块是为反映各专业特点和人才培养职业定位而设置的既相对独立又能够形成有机整体的主干课程组。该组课程模块的设置既要体现教育部教学指导委员会最新颁布的专业规范的课程设置要求，又要反映创新型和应用型人才培养目标。</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综合训练课程主要包含专业综合实验（实训）、实习、毕业设计（论文）和社会实践等内容。各学院要紧密围绕应用型人才培养目标，制订切实可行的实践教学体系和实践教学标准，加强综合性和开放性实验（实训）项目的设计和应用。把社会调查、生产劳动、志愿服务、公益活动、科技发明和勤工助学、社团活动、技能培训、学科竞赛、科研项目训练等作为实践教学的有效载体，实现创新型和应用型人才培养。</w:t>
      </w:r>
    </w:p>
    <w:p>
      <w:pPr>
        <w:widowControl w:val="0"/>
        <w:adjustRightInd w:val="0"/>
        <w:snapToGrid w:val="0"/>
        <w:spacing w:line="516" w:lineRule="atLeast"/>
        <w:ind w:firstLine="560" w:firstLineChars="200"/>
        <w:rPr>
          <w:rFonts w:ascii="宋体" w:cs="仿宋"/>
          <w:kern w:val="0"/>
          <w:sz w:val="28"/>
          <w:szCs w:val="28"/>
        </w:rPr>
      </w:pPr>
      <w:r>
        <w:rPr>
          <w:rFonts w:ascii="宋体" w:hAnsi="宋体" w:cs="仿宋"/>
          <w:kern w:val="0"/>
          <w:sz w:val="28"/>
          <w:szCs w:val="28"/>
        </w:rPr>
        <w:t>2.</w:t>
      </w:r>
      <w:r>
        <w:rPr>
          <w:rFonts w:hint="eastAsia" w:ascii="宋体" w:hAnsi="宋体" w:cs="仿宋"/>
          <w:kern w:val="0"/>
          <w:sz w:val="28"/>
          <w:szCs w:val="28"/>
        </w:rPr>
        <w:t>选修课程平台</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选修课程平台主要由通识教育课程、专业教育课程和创新创业教育课程组成。</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通识教育课程是为发展和满足各专业学生的个性、兴趣、爱好与特长，改善学生的知识结构，拓宽知识面，培养可持续发展能力而开设的课程。主要由自然科学类、人文社科类、公共艺术类、课外活动与社会实践等课程组成。重在科学精神和人文精神的融通教育，旨在提升学生的思想道德素质、专业素质、身心素质和文化素质。</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专业教育课程可涵盖学科基础课程模块、专业拓展课程模块、个性化培养课程模块等。具体分类及开设方式由各学院根据专业和学生发展需要自行设置。其设置目的主要在于拓展学生的专业素质、加强学生的个性培养、拓宽学生的就业范围，提升学生的综合素质。各专业可供选修的课程总门数和学分数原则上应超过学生应修课程门数和学分数的</w:t>
      </w:r>
      <w:r>
        <w:rPr>
          <w:rFonts w:ascii="宋体" w:hAnsi="宋体" w:cs="仿宋"/>
          <w:kern w:val="0"/>
          <w:sz w:val="28"/>
          <w:szCs w:val="28"/>
        </w:rPr>
        <w:t>30%</w:t>
      </w:r>
      <w:r>
        <w:rPr>
          <w:rFonts w:hint="eastAsia" w:ascii="宋体" w:hAnsi="宋体" w:cs="仿宋"/>
          <w:kern w:val="0"/>
          <w:sz w:val="28"/>
          <w:szCs w:val="28"/>
        </w:rPr>
        <w:t>以上。</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创新创业课程要严格按照教育部办公厅关于印发《普通本科学校创业教育教学基本要求（试行）的通知》（教高厅〔2012〕4号）要求开展，开设创业基础、就业创业指导课程以及相关课程，逐步建设起依次递进、有机衔接、科学合理的创新创业教育专门课程群。各学院要把创新创业类课程的设置与专业课程体系有机融合，将创新创业实践活动与专业实践教学有效衔接，积极推进人才培养模式、教学内容和课程体系改革。</w:t>
      </w:r>
    </w:p>
    <w:p>
      <w:pPr>
        <w:widowControl w:val="0"/>
        <w:adjustRightInd w:val="0"/>
        <w:snapToGrid w:val="0"/>
        <w:ind w:firstLine="562" w:firstLineChars="200"/>
        <w:rPr>
          <w:rFonts w:ascii="宋体" w:hAnsi="宋体" w:cs="仿宋"/>
          <w:b/>
          <w:bCs/>
          <w:kern w:val="0"/>
          <w:sz w:val="28"/>
          <w:szCs w:val="28"/>
        </w:rPr>
      </w:pPr>
      <w:r>
        <w:rPr>
          <w:rFonts w:hint="eastAsia" w:ascii="宋体" w:hAnsi="宋体" w:cs="仿宋"/>
          <w:b/>
          <w:bCs/>
          <w:kern w:val="0"/>
          <w:sz w:val="28"/>
          <w:szCs w:val="28"/>
        </w:rPr>
        <w:t>四、学分设置及教学时间安排</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（一）学分设置</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我校现有专业的基本学制均为</w:t>
      </w:r>
      <w:r>
        <w:rPr>
          <w:rFonts w:ascii="宋体" w:hAnsi="宋体" w:cs="仿宋"/>
          <w:kern w:val="0"/>
          <w:sz w:val="28"/>
          <w:szCs w:val="28"/>
        </w:rPr>
        <w:t>4</w:t>
      </w:r>
      <w:r>
        <w:rPr>
          <w:rFonts w:hint="eastAsia" w:ascii="宋体" w:hAnsi="宋体" w:cs="仿宋"/>
          <w:kern w:val="0"/>
          <w:sz w:val="28"/>
          <w:szCs w:val="28"/>
        </w:rPr>
        <w:t>年，毕业学分要求，原则上文学、经济、管理、教育、艺术类专业不多于</w:t>
      </w:r>
      <w:r>
        <w:rPr>
          <w:rFonts w:ascii="宋体" w:hAnsi="宋体" w:cs="仿宋"/>
          <w:kern w:val="0"/>
          <w:sz w:val="28"/>
          <w:szCs w:val="28"/>
        </w:rPr>
        <w:t>160</w:t>
      </w:r>
      <w:r>
        <w:rPr>
          <w:rFonts w:hint="eastAsia" w:ascii="宋体" w:hAnsi="宋体" w:cs="仿宋"/>
          <w:kern w:val="0"/>
          <w:sz w:val="28"/>
          <w:szCs w:val="28"/>
        </w:rPr>
        <w:t>学分，理工类专业不多于</w:t>
      </w:r>
      <w:r>
        <w:rPr>
          <w:rFonts w:ascii="宋体" w:hAnsi="宋体" w:cs="仿宋"/>
          <w:kern w:val="0"/>
          <w:sz w:val="28"/>
          <w:szCs w:val="28"/>
        </w:rPr>
        <w:t>170</w:t>
      </w:r>
      <w:r>
        <w:rPr>
          <w:rFonts w:hint="eastAsia" w:ascii="宋体" w:hAnsi="宋体" w:cs="仿宋"/>
          <w:kern w:val="0"/>
          <w:sz w:val="28"/>
          <w:szCs w:val="28"/>
        </w:rPr>
        <w:t>学分。其中，必修课程平台学分占</w:t>
      </w:r>
      <w:r>
        <w:rPr>
          <w:rFonts w:ascii="宋体" w:hAnsi="宋体" w:cs="仿宋"/>
          <w:kern w:val="0"/>
          <w:sz w:val="28"/>
          <w:szCs w:val="28"/>
        </w:rPr>
        <w:t>60-70</w:t>
      </w:r>
      <w:r>
        <w:rPr>
          <w:rFonts w:hint="eastAsia" w:ascii="宋体" w:hAnsi="宋体" w:cs="仿宋"/>
          <w:kern w:val="0"/>
          <w:sz w:val="28"/>
          <w:szCs w:val="28"/>
        </w:rPr>
        <w:t>％，选修课程平台学分占</w:t>
      </w:r>
      <w:r>
        <w:rPr>
          <w:rFonts w:ascii="宋体" w:hAnsi="宋体" w:cs="仿宋"/>
          <w:kern w:val="0"/>
          <w:sz w:val="28"/>
          <w:szCs w:val="28"/>
        </w:rPr>
        <w:t>30-40</w:t>
      </w:r>
      <w:r>
        <w:rPr>
          <w:rFonts w:hint="eastAsia" w:ascii="宋体" w:hAnsi="宋体" w:cs="仿宋"/>
          <w:kern w:val="0"/>
          <w:sz w:val="28"/>
          <w:szCs w:val="28"/>
        </w:rPr>
        <w:t>％；文学、经管、教育类专业实践教学学分约占</w:t>
      </w:r>
      <w:r>
        <w:rPr>
          <w:rFonts w:ascii="宋体" w:hAnsi="宋体" w:cs="仿宋"/>
          <w:kern w:val="0"/>
          <w:sz w:val="28"/>
          <w:szCs w:val="28"/>
        </w:rPr>
        <w:t>25</w:t>
      </w:r>
      <w:r>
        <w:rPr>
          <w:rFonts w:hint="eastAsia" w:ascii="宋体" w:hAnsi="宋体" w:cs="仿宋"/>
          <w:kern w:val="0"/>
          <w:sz w:val="28"/>
          <w:szCs w:val="28"/>
        </w:rPr>
        <w:t>％，理工类专业实践教学学分约占</w:t>
      </w:r>
      <w:r>
        <w:rPr>
          <w:rFonts w:ascii="宋体" w:hAnsi="宋体" w:cs="仿宋"/>
          <w:kern w:val="0"/>
          <w:sz w:val="28"/>
          <w:szCs w:val="28"/>
        </w:rPr>
        <w:t>3</w:t>
      </w:r>
      <w:r>
        <w:rPr>
          <w:rFonts w:ascii="宋体" w:cs="仿宋"/>
          <w:kern w:val="0"/>
          <w:sz w:val="28"/>
          <w:szCs w:val="28"/>
        </w:rPr>
        <w:t>0</w:t>
      </w:r>
      <w:r>
        <w:rPr>
          <w:rFonts w:hint="eastAsia" w:ascii="宋体" w:hAnsi="宋体" w:cs="仿宋"/>
          <w:kern w:val="0"/>
          <w:sz w:val="28"/>
          <w:szCs w:val="28"/>
        </w:rPr>
        <w:t>％；艺术类专业实践教学学分约占</w:t>
      </w:r>
      <w:r>
        <w:rPr>
          <w:rFonts w:ascii="宋体" w:hAnsi="宋体" w:cs="仿宋"/>
          <w:kern w:val="0"/>
          <w:sz w:val="28"/>
          <w:szCs w:val="28"/>
        </w:rPr>
        <w:t>35</w:t>
      </w:r>
      <w:r>
        <w:rPr>
          <w:rFonts w:hint="eastAsia" w:ascii="宋体" w:hAnsi="宋体" w:cs="仿宋"/>
          <w:kern w:val="0"/>
          <w:sz w:val="28"/>
          <w:szCs w:val="28"/>
        </w:rPr>
        <w:t>％。</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在进行学分合算时，原则上，课堂教学每</w:t>
      </w:r>
      <w:r>
        <w:rPr>
          <w:rFonts w:ascii="宋体" w:hAnsi="宋体" w:cs="仿宋"/>
          <w:kern w:val="0"/>
          <w:sz w:val="28"/>
          <w:szCs w:val="28"/>
        </w:rPr>
        <w:t>16</w:t>
      </w:r>
      <w:r>
        <w:rPr>
          <w:rFonts w:hint="eastAsia" w:ascii="宋体" w:hAnsi="宋体" w:cs="仿宋"/>
          <w:kern w:val="0"/>
          <w:sz w:val="28"/>
          <w:szCs w:val="28"/>
        </w:rPr>
        <w:t>学时计</w:t>
      </w:r>
      <w:r>
        <w:rPr>
          <w:rFonts w:ascii="宋体" w:hAnsi="宋体" w:cs="仿宋"/>
          <w:kern w:val="0"/>
          <w:sz w:val="28"/>
          <w:szCs w:val="28"/>
        </w:rPr>
        <w:t>1</w:t>
      </w:r>
      <w:r>
        <w:rPr>
          <w:rFonts w:hint="eastAsia" w:ascii="宋体" w:hAnsi="宋体" w:cs="仿宋"/>
          <w:kern w:val="0"/>
          <w:sz w:val="28"/>
          <w:szCs w:val="28"/>
        </w:rPr>
        <w:t>学分；实验及专业技能训练每</w:t>
      </w:r>
      <w:r>
        <w:rPr>
          <w:rFonts w:ascii="宋体" w:hAnsi="宋体" w:cs="仿宋"/>
          <w:kern w:val="0"/>
          <w:sz w:val="28"/>
          <w:szCs w:val="28"/>
        </w:rPr>
        <w:t>16</w:t>
      </w:r>
      <w:r>
        <w:rPr>
          <w:rFonts w:hint="eastAsia" w:ascii="宋体" w:hAnsi="宋体" w:cs="仿宋"/>
          <w:kern w:val="0"/>
          <w:sz w:val="28"/>
          <w:szCs w:val="28"/>
        </w:rPr>
        <w:t>学时计</w:t>
      </w:r>
      <w:r>
        <w:rPr>
          <w:rFonts w:ascii="宋体" w:hAnsi="宋体" w:cs="仿宋"/>
          <w:kern w:val="0"/>
          <w:sz w:val="28"/>
          <w:szCs w:val="28"/>
        </w:rPr>
        <w:t>1</w:t>
      </w:r>
      <w:r>
        <w:rPr>
          <w:rFonts w:hint="eastAsia" w:ascii="宋体" w:hAnsi="宋体" w:cs="仿宋"/>
          <w:kern w:val="0"/>
          <w:sz w:val="28"/>
          <w:szCs w:val="28"/>
        </w:rPr>
        <w:t>学分；集中性实践教学环节</w:t>
      </w:r>
      <w:r>
        <w:rPr>
          <w:rFonts w:ascii="宋体" w:hAnsi="宋体" w:cs="仿宋"/>
          <w:kern w:val="0"/>
          <w:sz w:val="28"/>
          <w:szCs w:val="28"/>
        </w:rPr>
        <w:t>1</w:t>
      </w:r>
      <w:r>
        <w:rPr>
          <w:rFonts w:hint="eastAsia" w:ascii="宋体" w:hAnsi="宋体" w:cs="仿宋"/>
          <w:kern w:val="0"/>
          <w:sz w:val="28"/>
          <w:szCs w:val="28"/>
        </w:rPr>
        <w:t>周计</w:t>
      </w:r>
      <w:r>
        <w:rPr>
          <w:rFonts w:ascii="宋体" w:hAnsi="宋体" w:cs="仿宋"/>
          <w:kern w:val="0"/>
          <w:sz w:val="28"/>
          <w:szCs w:val="28"/>
        </w:rPr>
        <w:t>1</w:t>
      </w:r>
      <w:r>
        <w:rPr>
          <w:rFonts w:hint="eastAsia" w:ascii="宋体" w:hAnsi="宋体" w:cs="仿宋"/>
          <w:kern w:val="0"/>
          <w:sz w:val="28"/>
          <w:szCs w:val="28"/>
        </w:rPr>
        <w:t>学分。</w:t>
      </w:r>
    </w:p>
    <w:p>
      <w:pPr>
        <w:widowControl w:val="0"/>
        <w:adjustRightInd w:val="0"/>
        <w:snapToGrid w:val="0"/>
        <w:ind w:firstLine="570"/>
        <w:rPr>
          <w:rFonts w:ascii="宋体" w:hAnsi="宋体" w:cs="仿宋"/>
          <w:kern w:val="0"/>
          <w:sz w:val="28"/>
          <w:szCs w:val="28"/>
        </w:rPr>
      </w:pPr>
      <w:r>
        <w:rPr>
          <w:rFonts w:hint="eastAsia" w:ascii="宋体" w:hAnsi="宋体" w:cs="仿宋"/>
          <w:kern w:val="0"/>
          <w:sz w:val="28"/>
          <w:szCs w:val="28"/>
        </w:rPr>
        <w:t>（二）教学时间安排</w:t>
      </w:r>
      <w:r>
        <w:rPr>
          <w:rFonts w:ascii="宋体" w:hAnsi="宋体" w:cs="仿宋"/>
          <w:kern w:val="0"/>
          <w:sz w:val="28"/>
          <w:szCs w:val="28"/>
        </w:rPr>
        <w:t xml:space="preserve"> </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每学年设置春季和秋季两个学期，每学期安排教学活动</w:t>
      </w:r>
      <w:r>
        <w:rPr>
          <w:rFonts w:ascii="宋体" w:hAnsi="宋体" w:cs="仿宋"/>
          <w:kern w:val="0"/>
          <w:sz w:val="28"/>
          <w:szCs w:val="28"/>
        </w:rPr>
        <w:t>19</w:t>
      </w:r>
      <w:r>
        <w:rPr>
          <w:rFonts w:hint="eastAsia" w:ascii="宋体" w:hAnsi="宋体" w:cs="仿宋"/>
          <w:kern w:val="0"/>
          <w:sz w:val="28"/>
          <w:szCs w:val="28"/>
        </w:rPr>
        <w:t>～</w:t>
      </w:r>
      <w:r>
        <w:rPr>
          <w:rFonts w:ascii="宋体" w:hAnsi="宋体" w:cs="仿宋"/>
          <w:kern w:val="0"/>
          <w:sz w:val="28"/>
          <w:szCs w:val="28"/>
        </w:rPr>
        <w:t>20</w:t>
      </w:r>
      <w:r>
        <w:rPr>
          <w:rFonts w:hint="eastAsia" w:ascii="宋体" w:hAnsi="宋体" w:cs="仿宋"/>
          <w:kern w:val="0"/>
          <w:sz w:val="28"/>
          <w:szCs w:val="28"/>
        </w:rPr>
        <w:t>周，其中教学周为</w:t>
      </w:r>
      <w:r>
        <w:rPr>
          <w:rFonts w:ascii="宋体" w:hAnsi="宋体" w:cs="仿宋"/>
          <w:kern w:val="0"/>
          <w:sz w:val="28"/>
          <w:szCs w:val="28"/>
        </w:rPr>
        <w:t>16</w:t>
      </w:r>
      <w:r>
        <w:rPr>
          <w:rFonts w:hint="eastAsia" w:ascii="宋体" w:hAnsi="宋体" w:cs="仿宋"/>
          <w:kern w:val="0"/>
          <w:sz w:val="28"/>
          <w:szCs w:val="28"/>
        </w:rPr>
        <w:t>周（新生入学的第一学期教学周数为</w:t>
      </w:r>
      <w:r>
        <w:rPr>
          <w:rFonts w:ascii="宋体" w:hAnsi="宋体" w:cs="仿宋"/>
          <w:kern w:val="0"/>
          <w:sz w:val="28"/>
          <w:szCs w:val="28"/>
        </w:rPr>
        <w:t>14</w:t>
      </w:r>
      <w:r>
        <w:rPr>
          <w:rFonts w:hint="eastAsia" w:ascii="宋体" w:hAnsi="宋体" w:cs="仿宋"/>
          <w:kern w:val="0"/>
          <w:sz w:val="28"/>
          <w:szCs w:val="28"/>
        </w:rPr>
        <w:t>周）。</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五、部分课程实施安排</w:t>
      </w:r>
    </w:p>
    <w:p>
      <w:pPr>
        <w:widowControl w:val="0"/>
        <w:adjustRightInd w:val="0"/>
        <w:snapToGrid w:val="0"/>
        <w:spacing w:line="516" w:lineRule="atLeast"/>
        <w:ind w:firstLine="560" w:firstLineChars="200"/>
        <w:rPr>
          <w:rFonts w:ascii="宋体" w:hAnsi="宋体" w:cs="仿宋"/>
          <w:b/>
          <w:bCs/>
          <w:kern w:val="0"/>
          <w:sz w:val="28"/>
          <w:szCs w:val="28"/>
        </w:rPr>
      </w:pPr>
      <w:r>
        <w:rPr>
          <w:rFonts w:hint="eastAsia" w:ascii="宋体" w:hAnsi="宋体" w:cs="仿宋"/>
          <w:kern w:val="0"/>
          <w:sz w:val="28"/>
          <w:szCs w:val="28"/>
        </w:rPr>
        <w:t>（一）公共基础课程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 思想政治理论课程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共320学时（16学分），采取课堂教学与实践教学相结合的形式。实践教学可采取电子音像教学、讨论会、报告会、辩论会、知识竞赛、写论文、社会调查与社会实践等灵活多样的教学形式。设置“思想品德修养与法律基础”（2学分理论课程+1学分实践课程）、“中国近现代史纲要”（2学分理论课程）、“毛泽东思想和中国特色社会主义理论体系概论”（3学分理论课程+3学分实践课程）、“马克思主义基本原理”（2学分理论课程+1学分实践课程）、“形势与政策”（1学分理论课程+1学分实践课程）等五门课程，共10学分理论课程，6学分实践课程教学。具体的实践教学计划及考核方式由思想政治教学研究部确定。</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kern w:val="0"/>
          <w:sz w:val="28"/>
          <w:szCs w:val="28"/>
        </w:rPr>
        <w:t xml:space="preserve">2. </w:t>
      </w:r>
      <w:r>
        <w:rPr>
          <w:rFonts w:hint="eastAsia" w:ascii="宋体" w:hAnsi="宋体" w:cs="宋体"/>
          <w:color w:val="000000"/>
          <w:kern w:val="0"/>
          <w:sz w:val="28"/>
          <w:szCs w:val="28"/>
        </w:rPr>
        <w:t>大学英语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宋体"/>
          <w:color w:val="000000"/>
          <w:kern w:val="0"/>
          <w:sz w:val="28"/>
          <w:szCs w:val="28"/>
        </w:rPr>
        <w:t xml:space="preserve"> “大学英语”课程前三学期以必修课程形式开设（艺术类记6学分，非艺术类记9学分），第四学期以选修课程形式开设，也可以结合专业需要单独设置“×××专业英语”课程（3学分）。具体开设课程及学分情况由基础教学部和各专业研究决定。</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color w:val="000000"/>
          <w:kern w:val="0"/>
          <w:sz w:val="28"/>
          <w:szCs w:val="28"/>
        </w:rPr>
        <w:t>3. 大学体育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宋体"/>
          <w:color w:val="000000"/>
          <w:kern w:val="0"/>
          <w:sz w:val="28"/>
          <w:szCs w:val="28"/>
        </w:rPr>
        <w:t>共124学时（8学分）分四个学期开设。其中，第一学期开设固定项目课程，第二、三、四学期开设自主选项课程，同时开设俱乐部专项选修课程，供全校学生选修。</w:t>
      </w:r>
      <w:r>
        <w:rPr>
          <w:rFonts w:hint="eastAsia" w:ascii="宋体" w:hAnsi="宋体" w:cs="仿宋"/>
          <w:kern w:val="0"/>
          <w:sz w:val="28"/>
          <w:szCs w:val="28"/>
        </w:rPr>
        <w:t>具体教学任务及实施方案由体育教学部负责。</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4. 大学生就业指导与创业教育课</w:t>
      </w:r>
    </w:p>
    <w:p>
      <w:pPr>
        <w:widowControl w:val="0"/>
        <w:adjustRightInd w:val="0"/>
        <w:snapToGrid w:val="0"/>
        <w:spacing w:line="516" w:lineRule="atLeast"/>
        <w:ind w:firstLine="560" w:firstLineChars="200"/>
        <w:rPr>
          <w:rFonts w:ascii="宋体" w:hAnsi="宋体" w:cs="宋体"/>
          <w:color w:val="FF0000"/>
          <w:kern w:val="0"/>
          <w:sz w:val="28"/>
          <w:szCs w:val="28"/>
        </w:rPr>
      </w:pPr>
      <w:r>
        <w:rPr>
          <w:rFonts w:hint="eastAsia" w:ascii="宋体" w:hAnsi="宋体" w:cs="宋体"/>
          <w:color w:val="000000"/>
          <w:kern w:val="0"/>
          <w:sz w:val="28"/>
          <w:szCs w:val="28"/>
        </w:rPr>
        <w:t>共74学时（4学分）“大学生职业发展与就业指导”（42学时记2学分），“创业基础”（32学时记2学分）。</w:t>
      </w:r>
      <w:r>
        <w:rPr>
          <w:rFonts w:hint="eastAsia" w:ascii="宋体" w:hAnsi="宋体" w:cs="仿宋"/>
          <w:kern w:val="0"/>
          <w:sz w:val="28"/>
          <w:szCs w:val="28"/>
        </w:rPr>
        <w:t>由创新创业教育研究中心承担教学任务，课表单独编排。该课程旨在激发大学生职业生涯发展的自主意识，树立正确的就业观，促使大学生理性地规划自身未来的发展，为顺利实现就业和成功创业奠定基础。</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5. 大学生心理健康教育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共32学时（2学分），由学生处负责组织大学生心理健康教育教研室实施教学，课表单独编排。旨在使学生明确心理健康的标准及意义，增强自我心理保健意识和心理危机预防意识，掌握并应用心理健康知识，培养自我认知能力、人际沟通能力、自我调节能力，切实提高心理素质，促进学生全面发展。</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6. 军事教育</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军事教育包含“军事理论教育”（32学时记2学分）和“军事技能训练”（1学分）两部分，教育学生掌握基本军事技能和军事理论，增强国防观念、国家安全意识，培养艰苦奋斗和吃苦耐劳的作风。</w:t>
      </w:r>
    </w:p>
    <w:p>
      <w:pPr>
        <w:widowControl w:val="0"/>
        <w:adjustRightInd w:val="0"/>
        <w:snapToGrid w:val="0"/>
        <w:spacing w:line="516" w:lineRule="atLeast"/>
        <w:ind w:firstLine="560" w:firstLineChars="200"/>
        <w:rPr>
          <w:rFonts w:ascii="宋体" w:cs="仿宋"/>
          <w:kern w:val="0"/>
          <w:sz w:val="28"/>
          <w:szCs w:val="28"/>
        </w:rPr>
      </w:pPr>
      <w:r>
        <w:rPr>
          <w:rFonts w:hint="eastAsia" w:ascii="宋体" w:hAnsi="宋体" w:cs="仿宋"/>
          <w:kern w:val="0"/>
          <w:sz w:val="28"/>
          <w:szCs w:val="28"/>
        </w:rPr>
        <w:t>（二）专业基础课程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基础课程实行分类管理，由课程教研室负责该类课程的设置及教师配备等相关工作。“经济学类”课程由经济学教研室负责，“管理学类”课程由管理学教研室负责，“法学类”课程由经济法教研室负责，“会计学类”课程由会计学教研室负责，“音乐类”课程由音乐教研室负责，“美术类”课程由美术教研室负责，“大学物理”由“大学物理”教研室负责，等等。</w:t>
      </w:r>
    </w:p>
    <w:p>
      <w:pPr>
        <w:widowControl w:val="0"/>
        <w:adjustRightInd w:val="0"/>
        <w:snapToGrid w:val="0"/>
        <w:spacing w:line="516" w:lineRule="atLeast"/>
        <w:ind w:firstLine="560" w:firstLineChars="200"/>
        <w:rPr>
          <w:rFonts w:ascii="宋体" w:hAnsi="宋体" w:cs="宋体"/>
          <w:color w:val="000000"/>
          <w:kern w:val="0"/>
          <w:sz w:val="28"/>
          <w:szCs w:val="28"/>
        </w:rPr>
      </w:pPr>
      <w:r>
        <w:rPr>
          <w:rFonts w:hint="eastAsia" w:ascii="宋体" w:hAnsi="宋体" w:cs="宋体"/>
          <w:color w:val="000000"/>
          <w:kern w:val="0"/>
          <w:sz w:val="28"/>
          <w:szCs w:val="28"/>
        </w:rPr>
        <w:t>“大学数学”类课程实施分层教学，设A、B、C三层。各学院根据专业需求选择课程开设等级及门数，课程教学任务由基础教学部承担。基础教学部要加强与各专业的合作交流，确保教学内容与专业需求紧密结合。具体分层情况见附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（三）实践教学</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实践教学是培养学生创新意识、合作精神和实际操作能力的重要环节。实践教学按功能目标可分为基本技能训练、专业技能培养和综合创新能力培养三个层次；按模块设置可分为课程内实验（实训）、独立设课实验（实训）、集中实践性教学环节（含社会实践）等。</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 课程内实验（实训）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课程内实验（实训）是促进学生深化理论知识、掌握实验基本技能和基本研究方法的实践教学环节，由演示性、验证性、操作性和综合性等多层次实验内容构成，旨在巩固知识、验证原理、培养动手能力。</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2. 独立设课实验（实训）</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独立设课实验（实训）是以一门或几门专业课程为基点、融实验理论、实验知识和实验技能为一体，在强化基本训练的基础上，开出一定比例的基础性、综合性、设计性与研究性的实验（实训），旨在培养学生的基本实验（实训）思想、方法、技能和综合应用能力。</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3. 集中性实践教学环节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集中性实践教学环节主要包括入学教育、安全教育、军事训练、劳动教育、专业技能训练、课程实习、专业见习或实习、毕业实习、毕业论文（设计）以及社会实践等内容。社会实践是学生进行社会调查研究、撰写论文或调查报告的实践教学环节。毕业实习和毕业论文 (设计)一般安排在第7—8学期进行，原则上毕业论文 (设计)安排8周，计8学分；毕业实习的学分及具体时间由各学院根据不同专业的特点自行安排。</w:t>
      </w:r>
    </w:p>
    <w:p>
      <w:pPr>
        <w:widowControl w:val="0"/>
        <w:adjustRightInd w:val="0"/>
        <w:snapToGrid w:val="0"/>
        <w:spacing w:after="156" w:afterLines="50"/>
        <w:jc w:val="center"/>
        <w:rPr>
          <w:rFonts w:ascii="宋体" w:hAnsi="宋体" w:cs="仿宋"/>
          <w:kern w:val="0"/>
          <w:sz w:val="28"/>
          <w:szCs w:val="28"/>
        </w:rPr>
      </w:pPr>
      <w:r>
        <w:rPr>
          <w:rFonts w:hint="eastAsia" w:ascii="宋体" w:hAnsi="宋体" w:cs="仿宋"/>
          <w:kern w:val="0"/>
          <w:sz w:val="28"/>
          <w:szCs w:val="28"/>
        </w:rPr>
        <w:t>表二  集中性实践教学环节学分（周数）表</w:t>
      </w:r>
    </w:p>
    <w:tbl>
      <w:tblPr>
        <w:tblStyle w:val="7"/>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6"/>
        <w:gridCol w:w="1800"/>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4376"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集中实践教学环节名称</w:t>
            </w:r>
          </w:p>
        </w:tc>
        <w:tc>
          <w:tcPr>
            <w:tcW w:w="1800"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周数</w:t>
            </w:r>
          </w:p>
        </w:tc>
        <w:tc>
          <w:tcPr>
            <w:tcW w:w="1846" w:type="dxa"/>
            <w:vAlign w:val="center"/>
          </w:tcPr>
          <w:p>
            <w:pPr>
              <w:widowControl w:val="0"/>
              <w:adjustRightInd w:val="0"/>
              <w:snapToGrid w:val="0"/>
              <w:spacing w:line="516" w:lineRule="atLeast"/>
              <w:jc w:val="center"/>
              <w:rPr>
                <w:rFonts w:ascii="宋体" w:hAnsi="宋体" w:cs="仿宋"/>
                <w:b/>
                <w:bCs/>
                <w:kern w:val="0"/>
                <w:sz w:val="24"/>
                <w:szCs w:val="24"/>
              </w:rPr>
            </w:pPr>
            <w:r>
              <w:rPr>
                <w:rFonts w:hint="eastAsia" w:ascii="宋体" w:hAnsi="宋体" w:cs="仿宋"/>
                <w:b/>
                <w:bCs/>
                <w:kern w:val="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军事训练</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安全教育</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专业技能训练……</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专业综合实验（实训）……</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×××课程实习（调查）</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×××课程设计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专业见习（生产实习）</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社会实践</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毕业实习</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12</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毕业论文（设计）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8</w:t>
            </w:r>
          </w:p>
        </w:tc>
        <w:tc>
          <w:tcPr>
            <w:tcW w:w="184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5" w:hRule="exact"/>
          <w:jc w:val="center"/>
        </w:trPr>
        <w:tc>
          <w:tcPr>
            <w:tcW w:w="4376" w:type="dxa"/>
            <w:vAlign w:val="center"/>
          </w:tcPr>
          <w:p>
            <w:pPr>
              <w:widowControl w:val="0"/>
              <w:adjustRightInd w:val="0"/>
              <w:snapToGrid w:val="0"/>
              <w:spacing w:line="516" w:lineRule="atLeast"/>
              <w:jc w:val="center"/>
              <w:rPr>
                <w:rFonts w:ascii="宋体" w:hAnsi="宋体" w:cs="仿宋"/>
                <w:kern w:val="0"/>
                <w:sz w:val="24"/>
                <w:szCs w:val="24"/>
              </w:rPr>
            </w:pPr>
            <w:r>
              <w:rPr>
                <w:rFonts w:hint="eastAsia" w:ascii="宋体" w:hAnsi="宋体" w:cs="仿宋"/>
                <w:kern w:val="0"/>
                <w:sz w:val="24"/>
                <w:szCs w:val="24"/>
              </w:rPr>
              <w:t>合计</w:t>
            </w:r>
          </w:p>
        </w:tc>
        <w:tc>
          <w:tcPr>
            <w:tcW w:w="1800" w:type="dxa"/>
            <w:vAlign w:val="center"/>
          </w:tcPr>
          <w:p>
            <w:pPr>
              <w:widowControl w:val="0"/>
              <w:adjustRightInd w:val="0"/>
              <w:snapToGrid w:val="0"/>
              <w:spacing w:line="516" w:lineRule="atLeast"/>
              <w:jc w:val="center"/>
              <w:rPr>
                <w:rFonts w:ascii="宋体" w:hAnsi="宋体" w:cs="仿宋"/>
                <w:kern w:val="0"/>
                <w:sz w:val="24"/>
                <w:szCs w:val="24"/>
              </w:rPr>
            </w:pPr>
          </w:p>
        </w:tc>
        <w:tc>
          <w:tcPr>
            <w:tcW w:w="1846" w:type="dxa"/>
            <w:vAlign w:val="center"/>
          </w:tcPr>
          <w:p>
            <w:pPr>
              <w:widowControl w:val="0"/>
              <w:adjustRightInd w:val="0"/>
              <w:snapToGrid w:val="0"/>
              <w:spacing w:line="516" w:lineRule="atLeast"/>
              <w:jc w:val="center"/>
              <w:rPr>
                <w:rFonts w:ascii="宋体" w:hAnsi="宋体" w:cs="仿宋"/>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8022" w:type="dxa"/>
            <w:gridSpan w:val="3"/>
            <w:vAlign w:val="center"/>
          </w:tcPr>
          <w:p>
            <w:pPr>
              <w:widowControl w:val="0"/>
              <w:adjustRightInd w:val="0"/>
              <w:snapToGrid w:val="0"/>
              <w:spacing w:line="516" w:lineRule="atLeast"/>
              <w:rPr>
                <w:rFonts w:ascii="宋体" w:hAnsi="宋体" w:cs="仿宋"/>
                <w:kern w:val="0"/>
                <w:szCs w:val="21"/>
              </w:rPr>
            </w:pPr>
            <w:r>
              <w:rPr>
                <w:rFonts w:hint="eastAsia" w:ascii="宋体" w:hAnsi="宋体" w:cs="仿宋"/>
                <w:kern w:val="0"/>
                <w:szCs w:val="21"/>
              </w:rPr>
              <w:t>说明：各专业根据专业教学需要选择填写具体训练或实验（实训）项目</w:t>
            </w:r>
          </w:p>
        </w:tc>
      </w:tr>
    </w:tbl>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各学院要结合专业特点和专门人才培养要求，合理安排实践教学时间。制订切实可行的实践教学体系和实践教学标准，提高实验、实习、实践和毕业设计（论文）质量；加强综合性、设计性和开放性实验（实训）项目的设计和应用；有效利用第二课堂推进社会实践活动，把社会调查、生产劳动、志愿服务、公益活动、勤工助学、社团活动、技能培训、学科竞赛、科技发明和科研项目训练等作为实践教学的有效载体，实现创新型和应用型人才培养目标。</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（四）通识教育课程</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学生在校期间至少应选修6门(168学时记9学分) 通识教育选修课程，非艺术类专业学生须选修至少1门公共艺术类课程。原则上全校所有学院提供的各类课程或课程组均可作为通识教育选修课程被全校学生选读。 </w:t>
      </w:r>
    </w:p>
    <w:p>
      <w:pPr>
        <w:widowControl w:val="0"/>
        <w:adjustRightInd w:val="0"/>
        <w:snapToGrid w:val="0"/>
        <w:ind w:firstLine="560" w:firstLineChars="200"/>
        <w:rPr>
          <w:rFonts w:ascii="宋体" w:cs="仿宋"/>
          <w:kern w:val="0"/>
          <w:sz w:val="28"/>
          <w:szCs w:val="28"/>
        </w:rPr>
      </w:pPr>
      <w:r>
        <w:rPr>
          <w:rFonts w:hint="eastAsia" w:ascii="宋体" w:hAnsi="宋体" w:cs="仿宋"/>
          <w:kern w:val="0"/>
          <w:sz w:val="28"/>
          <w:szCs w:val="28"/>
        </w:rPr>
        <w:t>1.</w:t>
      </w:r>
      <w:r>
        <w:rPr>
          <w:rFonts w:hint="eastAsia" w:ascii="宋体" w:hAnsi="宋体" w:cs="宋体"/>
          <w:color w:val="000000"/>
          <w:kern w:val="0"/>
          <w:sz w:val="28"/>
          <w:szCs w:val="28"/>
        </w:rPr>
        <w:t xml:space="preserve"> </w:t>
      </w:r>
      <w:r>
        <w:rPr>
          <w:rFonts w:hint="eastAsia" w:ascii="宋体" w:hAnsi="宋体" w:cs="宋体"/>
          <w:kern w:val="0"/>
          <w:sz w:val="28"/>
          <w:szCs w:val="28"/>
        </w:rPr>
        <w:t>大学语文类课程</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kern w:val="0"/>
          <w:sz w:val="28"/>
          <w:szCs w:val="28"/>
        </w:rPr>
        <w:t>共60学时（4学分），分别开设“应用文写作”（28学时记2学分，为经管类、教育学、文学类专业公共必修课程）或“大学语文”（32学时记2学分，为理工类、艺术类专业公共必修课程），各学院根据专业需要选设。</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kern w:val="0"/>
          <w:sz w:val="28"/>
          <w:szCs w:val="28"/>
        </w:rPr>
        <w:t xml:space="preserve">2. </w:t>
      </w:r>
      <w:r>
        <w:rPr>
          <w:rFonts w:hint="eastAsia" w:ascii="宋体" w:hAnsi="宋体" w:cs="仿宋"/>
          <w:kern w:val="0"/>
          <w:sz w:val="28"/>
          <w:szCs w:val="28"/>
        </w:rPr>
        <w:t>计算机</w:t>
      </w:r>
      <w:r>
        <w:rPr>
          <w:rFonts w:hint="eastAsia" w:ascii="宋体" w:hAnsi="宋体" w:cs="宋体"/>
          <w:kern w:val="0"/>
          <w:sz w:val="28"/>
          <w:szCs w:val="28"/>
        </w:rPr>
        <w:t>信息技术课程</w:t>
      </w:r>
    </w:p>
    <w:p>
      <w:pPr>
        <w:widowControl w:val="0"/>
        <w:adjustRightInd w:val="0"/>
        <w:snapToGrid w:val="0"/>
        <w:spacing w:line="516" w:lineRule="atLeast"/>
        <w:ind w:firstLine="560" w:firstLineChars="200"/>
        <w:rPr>
          <w:rFonts w:ascii="宋体" w:hAnsi="宋体" w:cs="宋体"/>
          <w:kern w:val="0"/>
          <w:sz w:val="28"/>
          <w:szCs w:val="28"/>
        </w:rPr>
      </w:pPr>
      <w:r>
        <w:rPr>
          <w:rFonts w:hint="eastAsia" w:ascii="宋体" w:hAnsi="宋体" w:cs="宋体"/>
          <w:color w:val="000000"/>
          <w:kern w:val="0"/>
          <w:sz w:val="28"/>
          <w:szCs w:val="28"/>
        </w:rPr>
        <w:t>共76学时（5学分）</w:t>
      </w:r>
      <w:r>
        <w:rPr>
          <w:rFonts w:hint="eastAsia" w:ascii="宋体" w:hAnsi="宋体" w:cs="宋体"/>
          <w:kern w:val="0"/>
          <w:sz w:val="28"/>
          <w:szCs w:val="28"/>
        </w:rPr>
        <w:t>设“信息技术基础”（28课时记2学分）和“Access数据库程序设计”（48课时记3学分），在</w:t>
      </w:r>
      <w:r>
        <w:rPr>
          <w:rFonts w:hint="eastAsia" w:ascii="宋体" w:hAnsi="宋体" w:cs="仿宋"/>
          <w:kern w:val="0"/>
          <w:sz w:val="28"/>
          <w:szCs w:val="28"/>
        </w:rPr>
        <w:t>第一学年分两个学期开设，</w:t>
      </w:r>
      <w:r>
        <w:rPr>
          <w:rFonts w:hint="eastAsia" w:ascii="宋体" w:hAnsi="宋体" w:cs="宋体"/>
          <w:kern w:val="0"/>
          <w:sz w:val="28"/>
          <w:szCs w:val="28"/>
        </w:rPr>
        <w:t>各专业根据专业需要选设。</w:t>
      </w:r>
    </w:p>
    <w:p>
      <w:pPr>
        <w:widowControl w:val="0"/>
        <w:adjustRightInd w:val="0"/>
        <w:snapToGrid w:val="0"/>
        <w:ind w:firstLine="560" w:firstLineChars="200"/>
        <w:rPr>
          <w:rFonts w:ascii="宋体" w:hAnsi="宋体" w:cs="仿宋"/>
          <w:kern w:val="0"/>
          <w:sz w:val="28"/>
          <w:szCs w:val="28"/>
        </w:rPr>
      </w:pPr>
      <w:r>
        <w:rPr>
          <w:rFonts w:hint="eastAsia" w:ascii="宋体" w:hAnsi="宋体" w:cs="仿宋"/>
          <w:kern w:val="0"/>
          <w:sz w:val="28"/>
          <w:szCs w:val="28"/>
        </w:rPr>
        <w:t>（五）考核方式</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考核方式要求多样化，各专业要大力倡导，积极探索全方位、多角度、多形式的课程考核方式。课程考核的组织形式分为学校统一组织和学院自行组织两种形式，原则上，由学校统一组织考核的课程门数为每专业每学期2-4门，具体考核课程由教务处在学期末另行通知，并组织考核。</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六、人才培养方案的框架及要求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（一）基本框架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1.培养目标</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2.培养规格和要求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3.专业基本信息</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4.人才培养标准实现矩阵</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5.毕业总学分和总学时</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6.专业核心课程说明</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7.实践教学</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8.毕业及学位要求</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9.附表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课程体系结构及学分学时分配比例表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专业教学计划进程表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专业社会实践学分认定表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专业培养方案总体安排及教学周数分配表</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（二）要求 </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各专业人才培养目标应符合区域经济发展需求，符合学校应用型人才培养目标及定位，符合行业特点，并能体现本专业人才培养特色，要根据人才培养目标以及服务面向，科学制定专业人才培养规格和要求，明确限定培养标准实现矩阵，合理设置教学内容并分配教学时间。避免出现培养目标定位模糊，培养涵盖领域宽泛，培养规格和要求不明等问题。文字编制要求语言简练，用词精准、表述清晰。</w:t>
      </w:r>
    </w:p>
    <w:p>
      <w:pPr>
        <w:widowControl w:val="0"/>
        <w:adjustRightInd w:val="0"/>
        <w:snapToGrid w:val="0"/>
        <w:spacing w:line="516" w:lineRule="atLeast"/>
        <w:ind w:firstLine="562" w:firstLineChars="200"/>
        <w:rPr>
          <w:rFonts w:ascii="宋体" w:hAnsi="宋体" w:cs="仿宋"/>
          <w:b/>
          <w:bCs/>
          <w:kern w:val="0"/>
          <w:sz w:val="28"/>
          <w:szCs w:val="28"/>
        </w:rPr>
      </w:pPr>
      <w:r>
        <w:rPr>
          <w:rFonts w:hint="eastAsia" w:ascii="宋体" w:hAnsi="宋体" w:cs="仿宋"/>
          <w:b/>
          <w:bCs/>
          <w:kern w:val="0"/>
          <w:sz w:val="28"/>
          <w:szCs w:val="28"/>
        </w:rPr>
        <w:t>七、组织管理</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（一）《湖北大学关于修订本科专业人才培养方案修订的制度》经校学术委员会讨论通过后将以文件形式下发，各学院、本科生院以及相关部门须遵照执行。</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二）各学院要高度重视本科专业人才培养方案的修订工作。要成立以院长为组长的本科专业人才培养方案修订工作领导小组，成立以教学副院长为组长、教研室主任为成员和专业负责人直接负责的本科专业人才培养方案修订工作组，在广泛调研的基础上，组织研讨、充分论证，完成本专业人才培养方案的修订工作。</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三）专业人才培养方案的编制工作必须在执行该方案的学生入学前一学期完成。为维护培养计划的权威性和严肃性，各年级专业培养计划内的课程、学时、学分、开课学期以及实验（实训）、实习、毕业设计等各个教学环节，任何单位都不得随意变更。若在执行过程中需要微调的专业，须填写《湖北大学人才培养方案异动审批表》，并按照相关规定办理审批手续后备案执行。凡未按规定程序报批而擅自对专业人才培养方案进行调整者，按教学事故处理。原则上，专业人才培养方案每4年修订一次。</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（四）各专业人才培养方案需经本学院本科专业人才培养方案修订工作领导小组审定之后，院长签名并加盖学院公章。在规定时间内将纸质文档（1份）和word文档 (word电子版内容必须与纸质版内容相吻合)交本科生院教务处。</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五）本科生院对人才培养方案进行形式审核后，提交学校学术委员会进行审定并反馈。各部门根据反馈意见进行修改和调整，本科生院统筹定稿之后报分管院长批准。经学校批准后的人才培养方案将予以公布，并组织实施。 </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附件：1.课程编号规则（见学院发文）</w:t>
      </w:r>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      2.专业人才培养方案模板</w:t>
      </w:r>
    </w:p>
    <w:p>
      <w:pPr>
        <w:widowControl w:val="0"/>
        <w:adjustRightInd w:val="0"/>
        <w:snapToGrid w:val="0"/>
        <w:spacing w:line="516" w:lineRule="atLeast"/>
        <w:ind w:firstLine="560" w:firstLineChars="200"/>
        <w:rPr>
          <w:rFonts w:ascii="宋体" w:hAnsi="宋体" w:cs="仿宋"/>
          <w:kern w:val="0"/>
          <w:sz w:val="28"/>
          <w:szCs w:val="28"/>
        </w:rPr>
      </w:pPr>
    </w:p>
    <w:p>
      <w:pPr>
        <w:widowControl w:val="0"/>
        <w:adjustRightInd w:val="0"/>
        <w:snapToGrid w:val="0"/>
        <w:spacing w:line="516" w:lineRule="atLeast"/>
        <w:rPr>
          <w:rFonts w:ascii="宋体" w:hAnsi="宋体" w:cs="仿宋"/>
          <w:kern w:val="0"/>
          <w:sz w:val="28"/>
          <w:szCs w:val="28"/>
        </w:rPr>
      </w:pPr>
      <w:bookmarkStart w:id="0" w:name="_GoBack"/>
      <w:r>
        <w:rPr>
          <w:sz w:val="24"/>
        </w:rPr>
        <w:pict>
          <v:shape id="图片 1" o:spid="_x0000_s1027" o:spt="75" type="#_x0000_t75" style="position:absolute;left:0pt;margin-left:279.5pt;margin-top:5.45pt;height:108.75pt;width:120pt;z-index:251660288;mso-width-relative:page;mso-height-relative:page;" filled="f" o:preferrelative="t" stroked="f" coordsize="21600,21600">
            <v:path/>
            <v:fill on="f" focussize="0,0"/>
            <v:stroke on="f"/>
            <v:imagedata r:id="rId8" o:title=""/>
            <o:lock v:ext="edit" aspectratio="t"/>
          </v:shape>
        </w:pict>
      </w:r>
      <w:bookmarkEnd w:id="0"/>
    </w:p>
    <w:p>
      <w:pPr>
        <w:widowControl w:val="0"/>
        <w:adjustRightInd w:val="0"/>
        <w:snapToGrid w:val="0"/>
        <w:spacing w:line="516" w:lineRule="atLeast"/>
        <w:ind w:firstLine="560" w:firstLineChars="200"/>
        <w:rPr>
          <w:rFonts w:ascii="宋体" w:hAnsi="宋体" w:cs="仿宋"/>
          <w:kern w:val="0"/>
          <w:sz w:val="28"/>
          <w:szCs w:val="28"/>
        </w:rPr>
      </w:pPr>
      <w:r>
        <w:rPr>
          <w:rFonts w:hint="eastAsia" w:ascii="宋体" w:hAnsi="宋体" w:cs="仿宋"/>
          <w:kern w:val="0"/>
          <w:sz w:val="28"/>
          <w:szCs w:val="28"/>
        </w:rPr>
        <w:t xml:space="preserve">                                          湖北大学</w:t>
      </w:r>
    </w:p>
    <w:p>
      <w:pPr>
        <w:widowControl w:val="0"/>
        <w:adjustRightInd w:val="0"/>
        <w:snapToGrid w:val="0"/>
        <w:spacing w:line="516" w:lineRule="atLeast"/>
        <w:ind w:right="560" w:firstLine="560" w:firstLineChars="200"/>
        <w:jc w:val="right"/>
        <w:rPr>
          <w:rFonts w:ascii="宋体" w:hAnsi="宋体" w:cs="仿宋"/>
          <w:kern w:val="0"/>
          <w:sz w:val="28"/>
          <w:szCs w:val="28"/>
        </w:rPr>
      </w:pPr>
      <w:r>
        <w:rPr>
          <w:rFonts w:hint="eastAsia" w:ascii="宋体" w:hAnsi="宋体" w:cs="仿宋"/>
          <w:kern w:val="0"/>
          <w:sz w:val="28"/>
          <w:szCs w:val="28"/>
        </w:rPr>
        <w:t>2020年12月25日</w:t>
      </w:r>
    </w:p>
    <w:p>
      <w:pPr>
        <w:spacing w:before="156" w:beforeLines="50" w:after="156" w:afterLines="50" w:line="360" w:lineRule="auto"/>
        <w:jc w:val="center"/>
        <w:rPr>
          <w:rFonts w:hint="eastAsia" w:ascii="宋体" w:hAnsi="宋体" w:cs="方正小标宋简体"/>
          <w:b/>
          <w:sz w:val="32"/>
          <w:szCs w:val="32"/>
        </w:rPr>
      </w:pPr>
    </w:p>
    <w:p>
      <w:pPr>
        <w:spacing w:before="156" w:beforeLines="50" w:after="156" w:afterLines="50" w:line="360" w:lineRule="auto"/>
        <w:jc w:val="center"/>
        <w:rPr>
          <w:rFonts w:ascii="宋体" w:hAnsi="宋体" w:cs="方正小标宋简体"/>
          <w:b/>
          <w:sz w:val="32"/>
          <w:szCs w:val="32"/>
        </w:rPr>
      </w:pPr>
      <w:r>
        <w:rPr>
          <w:rFonts w:hint="eastAsia" w:ascii="宋体" w:hAnsi="宋体" w:cs="方正小标宋简体"/>
          <w:b/>
          <w:sz w:val="32"/>
          <w:szCs w:val="32"/>
        </w:rPr>
        <w:t>×××××××专业人才培养方案</w:t>
      </w:r>
    </w:p>
    <w:p>
      <w:pPr>
        <w:spacing w:line="360" w:lineRule="auto"/>
        <w:ind w:firstLine="480" w:firstLineChars="200"/>
        <w:jc w:val="left"/>
        <w:rPr>
          <w:rFonts w:ascii="宋体" w:hAnsi="宋体"/>
          <w:sz w:val="24"/>
          <w:szCs w:val="24"/>
        </w:rPr>
      </w:pPr>
      <w:r>
        <w:rPr>
          <w:rFonts w:hint="eastAsia" w:ascii="宋体" w:hAnsi="宋体"/>
          <w:sz w:val="24"/>
          <w:szCs w:val="24"/>
        </w:rPr>
        <w:t>综述</w:t>
      </w:r>
      <w:r>
        <w:rPr>
          <w:rFonts w:hint="eastAsia" w:ascii="宋体" w:hAnsi="宋体" w:cs="宋体"/>
          <w:sz w:val="24"/>
          <w:szCs w:val="24"/>
        </w:rPr>
        <w:t>×××××××××××××××××××××××××××××××××××××××××××××××××××××××××××××××××××××××××××××××××××××××××××××××××××××××××××××。</w:t>
      </w:r>
    </w:p>
    <w:p>
      <w:pPr>
        <w:spacing w:line="360" w:lineRule="auto"/>
        <w:outlineLvl w:val="0"/>
        <w:rPr>
          <w:rFonts w:ascii="宋体" w:hAnsi="宋体"/>
          <w:b/>
          <w:bCs/>
          <w:sz w:val="24"/>
          <w:szCs w:val="24"/>
        </w:rPr>
      </w:pPr>
      <w:r>
        <w:rPr>
          <w:rFonts w:hint="eastAsia" w:ascii="宋体" w:hAnsi="宋体" w:cs="宋体"/>
          <w:b/>
          <w:bCs/>
          <w:sz w:val="24"/>
          <w:szCs w:val="24"/>
        </w:rPr>
        <w:t xml:space="preserve">    一、培养目标</w:t>
      </w:r>
    </w:p>
    <w:p>
      <w:pPr>
        <w:spacing w:line="360" w:lineRule="auto"/>
        <w:ind w:firstLine="480" w:firstLineChars="200"/>
        <w:rPr>
          <w:rFonts w:ascii="宋体" w:hAnsi="宋体"/>
          <w:sz w:val="24"/>
          <w:szCs w:val="24"/>
        </w:rPr>
      </w:pPr>
      <w:r>
        <w:rPr>
          <w:rFonts w:hint="eastAsia" w:ascii="宋体" w:hAnsi="宋体" w:cs="宋体"/>
          <w:sz w:val="24"/>
          <w:szCs w:val="24"/>
        </w:rPr>
        <w:t>本专业培养适应社会与经济发展需要，德、智、体全面发展，掌握×××××××××××××××(学科专业领域)的基本理论和基本知识，具备××××××能力，能够在××××××××(产业部门、或行业部门、或工作领域)，从事×××××××××(工作岗位类型)工作的创新型、应用型合格人才。</w:t>
      </w:r>
    </w:p>
    <w:p>
      <w:pPr>
        <w:spacing w:line="360" w:lineRule="auto"/>
        <w:outlineLvl w:val="0"/>
        <w:rPr>
          <w:rFonts w:ascii="宋体" w:hAnsi="宋体"/>
          <w:b/>
          <w:bCs/>
          <w:sz w:val="24"/>
          <w:szCs w:val="24"/>
        </w:rPr>
      </w:pPr>
      <w:r>
        <w:rPr>
          <w:rFonts w:hint="eastAsia" w:ascii="宋体" w:hAnsi="宋体" w:cs="宋体"/>
          <w:b/>
          <w:bCs/>
          <w:sz w:val="24"/>
          <w:szCs w:val="24"/>
        </w:rPr>
        <w:t xml:space="preserve">    二、培养规格和要求</w:t>
      </w:r>
    </w:p>
    <w:p>
      <w:pPr>
        <w:spacing w:line="360" w:lineRule="auto"/>
        <w:ind w:firstLine="480" w:firstLineChars="200"/>
        <w:rPr>
          <w:rFonts w:ascii="宋体" w:hAnsi="宋体"/>
          <w:sz w:val="24"/>
          <w:szCs w:val="24"/>
        </w:rPr>
      </w:pPr>
      <w:r>
        <w:rPr>
          <w:rFonts w:hint="eastAsia" w:ascii="宋体" w:hAnsi="宋体" w:cs="宋体"/>
          <w:sz w:val="24"/>
          <w:szCs w:val="24"/>
        </w:rPr>
        <w:t>1.具有较高的政治理论素养、思想道德素质、科学文化素质和身心素质，具有较强的敬业精神和良好的职业素养；</w:t>
      </w:r>
    </w:p>
    <w:p>
      <w:pPr>
        <w:spacing w:line="360" w:lineRule="auto"/>
        <w:ind w:firstLine="480" w:firstLineChars="200"/>
        <w:rPr>
          <w:rFonts w:ascii="宋体" w:hAnsi="宋体"/>
          <w:sz w:val="24"/>
          <w:szCs w:val="24"/>
        </w:rPr>
      </w:pPr>
      <w:r>
        <w:rPr>
          <w:rFonts w:hint="eastAsia" w:ascii="宋体" w:hAnsi="宋体" w:cs="宋体"/>
          <w:sz w:val="24"/>
          <w:szCs w:val="24"/>
        </w:rPr>
        <w:t>2.系统掌握××××××××××××(本专业领域)基本理论、基本知识；</w:t>
      </w:r>
    </w:p>
    <w:p>
      <w:pPr>
        <w:spacing w:line="360" w:lineRule="auto"/>
        <w:ind w:firstLine="480" w:firstLineChars="200"/>
        <w:rPr>
          <w:rFonts w:ascii="宋体" w:hAnsi="宋体"/>
          <w:sz w:val="24"/>
          <w:szCs w:val="24"/>
        </w:rPr>
      </w:pPr>
      <w:r>
        <w:rPr>
          <w:rFonts w:hint="eastAsia" w:ascii="宋体" w:hAnsi="宋体" w:cs="宋体"/>
          <w:sz w:val="24"/>
          <w:szCs w:val="24"/>
        </w:rPr>
        <w:t>3.掌握××××××(除本专业以外的其他主干学科)基本理论和基本知识；</w:t>
      </w:r>
    </w:p>
    <w:p>
      <w:pPr>
        <w:spacing w:line="360" w:lineRule="auto"/>
        <w:ind w:firstLine="480" w:firstLineChars="200"/>
        <w:rPr>
          <w:rFonts w:ascii="宋体" w:hAnsi="宋体"/>
          <w:sz w:val="24"/>
          <w:szCs w:val="24"/>
        </w:rPr>
      </w:pPr>
      <w:r>
        <w:rPr>
          <w:rFonts w:hint="eastAsia" w:ascii="宋体" w:hAnsi="宋体" w:cs="宋体"/>
          <w:sz w:val="24"/>
          <w:szCs w:val="24"/>
        </w:rPr>
        <w:t>4.掌握××××××××××(本专业领域)(基本技能、或技术应用能力、或技术方法)，具备从事×××××(就业领域或就业岗位)实际工作的初步能力；</w:t>
      </w:r>
    </w:p>
    <w:p>
      <w:pPr>
        <w:spacing w:line="360" w:lineRule="auto"/>
        <w:ind w:firstLine="480" w:firstLineChars="200"/>
        <w:rPr>
          <w:rFonts w:ascii="宋体" w:hAnsi="宋体"/>
          <w:sz w:val="24"/>
          <w:szCs w:val="24"/>
        </w:rPr>
      </w:pPr>
      <w:r>
        <w:rPr>
          <w:rFonts w:hint="eastAsia" w:ascii="宋体" w:hAnsi="宋体" w:cs="宋体"/>
          <w:sz w:val="24"/>
          <w:szCs w:val="24"/>
        </w:rPr>
        <w:t>5.掌握资料查询、文献检索及运用现代信息技术获取××××××信息(本专业学科前沿信息和资料信息)的基本方法，具备从事××××××(本专业领域)研究工作的初步能力；</w:t>
      </w:r>
    </w:p>
    <w:p>
      <w:pPr>
        <w:spacing w:line="360" w:lineRule="auto"/>
        <w:ind w:firstLine="480" w:firstLineChars="200"/>
        <w:rPr>
          <w:rFonts w:ascii="宋体" w:hAnsi="宋体"/>
          <w:sz w:val="24"/>
          <w:szCs w:val="24"/>
        </w:rPr>
      </w:pPr>
      <w:r>
        <w:rPr>
          <w:rFonts w:hint="eastAsia" w:ascii="宋体" w:hAnsi="宋体" w:cs="宋体"/>
          <w:sz w:val="24"/>
          <w:szCs w:val="24"/>
        </w:rPr>
        <w:t>6.了解和熟悉××××××××××(主干学科以外的学科领域)基本理论、相关知识；了解和熟悉××××××(本专业领域)法律、法规和政策；</w:t>
      </w:r>
    </w:p>
    <w:p>
      <w:pPr>
        <w:spacing w:line="360" w:lineRule="auto"/>
        <w:ind w:firstLine="480" w:firstLineChars="200"/>
        <w:rPr>
          <w:rFonts w:ascii="宋体" w:hAnsi="宋体"/>
          <w:sz w:val="24"/>
          <w:szCs w:val="24"/>
        </w:rPr>
      </w:pPr>
      <w:r>
        <w:rPr>
          <w:rFonts w:hint="eastAsia" w:ascii="宋体" w:hAnsi="宋体" w:cs="宋体"/>
          <w:sz w:val="24"/>
          <w:szCs w:val="24"/>
        </w:rPr>
        <w:t>7.具有×××××(本专业特殊能力要求，包括外语、计算机、普通话等领域)的能力。</w:t>
      </w:r>
    </w:p>
    <w:p>
      <w:pPr>
        <w:spacing w:line="360" w:lineRule="auto"/>
        <w:ind w:firstLine="482" w:firstLineChars="200"/>
        <w:rPr>
          <w:rFonts w:ascii="宋体" w:hAnsi="宋体"/>
          <w:sz w:val="24"/>
          <w:szCs w:val="24"/>
        </w:rPr>
      </w:pPr>
      <w:r>
        <w:rPr>
          <w:rFonts w:hint="eastAsia" w:ascii="宋体" w:hAnsi="宋体" w:cs="宋体"/>
          <w:b/>
          <w:bCs/>
          <w:color w:val="000000"/>
          <w:sz w:val="24"/>
          <w:szCs w:val="24"/>
        </w:rPr>
        <w:t xml:space="preserve"> 三、专业基本信息</w:t>
      </w:r>
    </w:p>
    <w:p>
      <w:pPr>
        <w:spacing w:line="360" w:lineRule="auto"/>
        <w:ind w:firstLine="480" w:firstLineChars="200"/>
        <w:rPr>
          <w:rFonts w:ascii="宋体" w:hAnsi="宋体"/>
          <w:sz w:val="24"/>
          <w:szCs w:val="24"/>
        </w:rPr>
      </w:pPr>
      <w:r>
        <w:rPr>
          <w:rFonts w:hint="eastAsia" w:ascii="宋体" w:hAnsi="宋体" w:cs="宋体"/>
          <w:sz w:val="24"/>
          <w:szCs w:val="24"/>
        </w:rPr>
        <w:t>学科门类：(查阅本科专业目录填写)</w:t>
      </w:r>
    </w:p>
    <w:p>
      <w:pPr>
        <w:spacing w:line="360" w:lineRule="auto"/>
        <w:ind w:firstLine="480" w:firstLineChars="200"/>
        <w:rPr>
          <w:rFonts w:ascii="宋体" w:hAnsi="宋体"/>
          <w:sz w:val="24"/>
          <w:szCs w:val="24"/>
        </w:rPr>
      </w:pPr>
      <w:r>
        <w:rPr>
          <w:rFonts w:hint="eastAsia" w:ascii="宋体" w:hAnsi="宋体" w:cs="宋体"/>
          <w:sz w:val="24"/>
          <w:szCs w:val="24"/>
        </w:rPr>
        <w:t>专业大类：(查阅本科专业目录填写)</w:t>
      </w:r>
    </w:p>
    <w:p>
      <w:pPr>
        <w:spacing w:line="360" w:lineRule="auto"/>
        <w:ind w:firstLine="480" w:firstLineChars="200"/>
        <w:rPr>
          <w:rFonts w:ascii="宋体" w:hAnsi="宋体"/>
          <w:sz w:val="24"/>
          <w:szCs w:val="24"/>
        </w:rPr>
      </w:pPr>
      <w:r>
        <w:rPr>
          <w:rFonts w:hint="eastAsia" w:ascii="宋体" w:hAnsi="宋体" w:cs="宋体"/>
          <w:sz w:val="24"/>
          <w:szCs w:val="24"/>
        </w:rPr>
        <w:t>专业代码：(查阅本科专业目录填写)</w:t>
      </w:r>
    </w:p>
    <w:p>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修业年限：四年（实行学分制的专业为三至六年）</w:t>
      </w:r>
    </w:p>
    <w:p>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授予学位：</w:t>
      </w:r>
      <w:r>
        <w:rPr>
          <w:rFonts w:hint="eastAsia" w:ascii="宋体" w:hAnsi="宋体" w:cs="宋体"/>
          <w:sz w:val="24"/>
          <w:szCs w:val="24"/>
        </w:rPr>
        <w:t>(查阅本科专业目录填写)</w:t>
      </w:r>
    </w:p>
    <w:p>
      <w:pPr>
        <w:spacing w:line="360" w:lineRule="auto"/>
        <w:ind w:firstLine="482" w:firstLineChars="200"/>
        <w:rPr>
          <w:rFonts w:ascii="宋体" w:hAnsi="宋体"/>
          <w:color w:val="000000"/>
          <w:sz w:val="24"/>
          <w:szCs w:val="24"/>
        </w:rPr>
      </w:pPr>
      <w:r>
        <w:rPr>
          <w:rFonts w:hint="eastAsia" w:ascii="宋体" w:hAnsi="宋体" w:cs="宋体"/>
          <w:b/>
          <w:bCs/>
          <w:sz w:val="24"/>
          <w:szCs w:val="24"/>
        </w:rPr>
        <w:t>四、人才培养标准实现矩阵</w:t>
      </w:r>
    </w:p>
    <w:p>
      <w:pPr>
        <w:spacing w:after="93" w:afterLines="30" w:line="560" w:lineRule="exact"/>
        <w:jc w:val="center"/>
        <w:rPr>
          <w:rFonts w:ascii="宋体" w:hAnsi="宋体"/>
          <w:bCs/>
          <w:sz w:val="24"/>
          <w:szCs w:val="24"/>
        </w:rPr>
      </w:pPr>
      <w:r>
        <w:rPr>
          <w:rFonts w:hint="eastAsia" w:ascii="宋体" w:hAnsi="宋体" w:cs="宋体"/>
          <w:bCs/>
          <w:sz w:val="24"/>
          <w:szCs w:val="24"/>
        </w:rPr>
        <w:t>表一  专业人才培养标准实现矩阵</w:t>
      </w:r>
    </w:p>
    <w:tbl>
      <w:tblPr>
        <w:tblStyle w:val="7"/>
        <w:tblW w:w="7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22"/>
        <w:gridCol w:w="26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一级目标</w:t>
            </w:r>
          </w:p>
        </w:tc>
        <w:tc>
          <w:tcPr>
            <w:tcW w:w="162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二级目标</w:t>
            </w:r>
          </w:p>
        </w:tc>
        <w:tc>
          <w:tcPr>
            <w:tcW w:w="265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内涵要求</w:t>
            </w:r>
          </w:p>
        </w:tc>
        <w:tc>
          <w:tcPr>
            <w:tcW w:w="2835"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b/>
                <w:szCs w:val="21"/>
              </w:rPr>
            </w:pPr>
            <w:r>
              <w:rPr>
                <w:rFonts w:hint="eastAsia" w:ascii="宋体" w:hAnsi="宋体"/>
                <w:b/>
                <w:szCs w:val="21"/>
              </w:rPr>
              <w:t>实现方式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知</w:t>
            </w:r>
          </w:p>
          <w:p>
            <w:pPr>
              <w:spacing w:line="240" w:lineRule="atLeast"/>
              <w:jc w:val="center"/>
              <w:rPr>
                <w:rFonts w:ascii="宋体" w:hAnsi="宋体"/>
                <w:szCs w:val="21"/>
              </w:rPr>
            </w:pPr>
            <w:r>
              <w:rPr>
                <w:rFonts w:hint="eastAsia" w:ascii="宋体" w:hAnsi="宋体"/>
                <w:szCs w:val="21"/>
              </w:rPr>
              <w:t>识</w:t>
            </w:r>
          </w:p>
          <w:p>
            <w:pPr>
              <w:spacing w:line="240" w:lineRule="atLeast"/>
              <w:jc w:val="center"/>
              <w:rPr>
                <w:rFonts w:ascii="宋体" w:hAnsi="宋体"/>
                <w:szCs w:val="21"/>
              </w:rPr>
            </w:pPr>
            <w:r>
              <w:rPr>
                <w:rFonts w:hint="eastAsia" w:ascii="宋体" w:hAnsi="宋体"/>
                <w:szCs w:val="21"/>
              </w:rPr>
              <w:t>结</w:t>
            </w:r>
          </w:p>
          <w:p>
            <w:pPr>
              <w:spacing w:line="240" w:lineRule="atLeast"/>
              <w:jc w:val="center"/>
              <w:rPr>
                <w:rFonts w:ascii="宋体" w:hAnsi="宋体"/>
                <w:szCs w:val="21"/>
              </w:rPr>
            </w:pPr>
            <w:r>
              <w:rPr>
                <w:rFonts w:hint="eastAsia" w:ascii="宋体" w:hAnsi="宋体"/>
                <w:szCs w:val="21"/>
              </w:rPr>
              <w:t>构</w:t>
            </w:r>
          </w:p>
        </w:tc>
        <w:tc>
          <w:tcPr>
            <w:tcW w:w="16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r>
              <w:rPr>
                <w:rFonts w:hint="eastAsia" w:ascii="宋体" w:hAnsi="宋体"/>
                <w:szCs w:val="21"/>
              </w:rPr>
              <w:t>通用知识</w:t>
            </w:r>
          </w:p>
        </w:tc>
        <w:tc>
          <w:tcPr>
            <w:tcW w:w="265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tcBorders>
              <w:left w:val="single" w:color="auto" w:sz="4" w:space="0"/>
              <w:right w:val="single" w:color="auto" w:sz="4" w:space="0"/>
            </w:tcBorders>
            <w:vAlign w:val="center"/>
          </w:tcPr>
          <w:p>
            <w:pPr>
              <w:spacing w:line="240" w:lineRule="atLeast"/>
              <w:jc w:val="center"/>
              <w:rPr>
                <w:rFonts w:ascii="宋体" w:hAnsi="宋体"/>
                <w:szCs w:val="21"/>
              </w:rPr>
            </w:pPr>
          </w:p>
        </w:tc>
        <w:tc>
          <w:tcPr>
            <w:tcW w:w="1622" w:type="dxa"/>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学科基础知识</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tcBorders>
              <w:left w:val="single" w:color="auto" w:sz="4" w:space="0"/>
              <w:right w:val="single" w:color="auto" w:sz="4" w:space="0"/>
            </w:tcBorders>
            <w:vAlign w:val="center"/>
          </w:tcPr>
          <w:p>
            <w:pPr>
              <w:spacing w:line="240" w:lineRule="atLeast"/>
              <w:ind w:firstLine="420" w:firstLineChars="200"/>
              <w:jc w:val="center"/>
              <w:rPr>
                <w:rFonts w:ascii="宋体" w:hAnsi="宋体"/>
                <w:bCs/>
                <w:szCs w:val="21"/>
              </w:rPr>
            </w:pPr>
          </w:p>
        </w:tc>
        <w:tc>
          <w:tcPr>
            <w:tcW w:w="1622" w:type="dxa"/>
            <w:tcBorders>
              <w:left w:val="single" w:color="auto" w:sz="4" w:space="0"/>
            </w:tcBorders>
            <w:vAlign w:val="center"/>
          </w:tcPr>
          <w:p>
            <w:pPr>
              <w:spacing w:line="240" w:lineRule="atLeast"/>
              <w:jc w:val="center"/>
              <w:rPr>
                <w:rFonts w:ascii="宋体" w:hAnsi="宋体"/>
                <w:szCs w:val="21"/>
              </w:rPr>
            </w:pPr>
            <w:r>
              <w:rPr>
                <w:rFonts w:hint="eastAsia" w:ascii="宋体" w:hAnsi="宋体"/>
                <w:szCs w:val="21"/>
              </w:rPr>
              <w:t>专业知识</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vAlign w:val="center"/>
          </w:tcPr>
          <w:p>
            <w:pPr>
              <w:spacing w:line="240" w:lineRule="atLeast"/>
              <w:jc w:val="center"/>
              <w:rPr>
                <w:rFonts w:ascii="宋体" w:hAnsi="宋体"/>
                <w:bCs/>
                <w:szCs w:val="21"/>
              </w:rPr>
            </w:pPr>
            <w:r>
              <w:rPr>
                <w:rFonts w:hint="eastAsia" w:ascii="宋体" w:hAnsi="宋体"/>
                <w:bCs/>
                <w:szCs w:val="21"/>
              </w:rPr>
              <w:t>能</w:t>
            </w:r>
          </w:p>
          <w:p>
            <w:pPr>
              <w:spacing w:line="240" w:lineRule="atLeast"/>
              <w:jc w:val="center"/>
              <w:rPr>
                <w:rFonts w:ascii="宋体" w:hAnsi="宋体"/>
                <w:bCs/>
                <w:szCs w:val="21"/>
              </w:rPr>
            </w:pPr>
            <w:r>
              <w:rPr>
                <w:rFonts w:hint="eastAsia" w:ascii="宋体" w:hAnsi="宋体"/>
                <w:bCs/>
                <w:szCs w:val="21"/>
              </w:rPr>
              <w:t>力</w:t>
            </w:r>
          </w:p>
          <w:p>
            <w:pPr>
              <w:spacing w:line="240" w:lineRule="atLeast"/>
              <w:jc w:val="center"/>
              <w:rPr>
                <w:rFonts w:ascii="宋体" w:hAnsi="宋体"/>
                <w:bCs/>
                <w:szCs w:val="21"/>
              </w:rPr>
            </w:pPr>
            <w:r>
              <w:rPr>
                <w:rFonts w:hint="eastAsia" w:ascii="宋体" w:hAnsi="宋体"/>
                <w:bCs/>
                <w:szCs w:val="21"/>
              </w:rPr>
              <w:t>结</w:t>
            </w:r>
          </w:p>
          <w:p>
            <w:pPr>
              <w:spacing w:line="240" w:lineRule="atLeast"/>
              <w:jc w:val="center"/>
              <w:rPr>
                <w:rFonts w:ascii="宋体" w:hAnsi="宋体"/>
                <w:bCs/>
                <w:szCs w:val="21"/>
              </w:rPr>
            </w:pPr>
            <w:r>
              <w:rPr>
                <w:rFonts w:hint="eastAsia" w:ascii="宋体" w:hAnsi="宋体"/>
                <w:bCs/>
                <w:szCs w:val="21"/>
              </w:rPr>
              <w:t>构</w:t>
            </w:r>
          </w:p>
        </w:tc>
        <w:tc>
          <w:tcPr>
            <w:tcW w:w="1622" w:type="dxa"/>
            <w:vAlign w:val="center"/>
          </w:tcPr>
          <w:p>
            <w:pPr>
              <w:spacing w:line="240" w:lineRule="atLeast"/>
              <w:jc w:val="center"/>
              <w:rPr>
                <w:rFonts w:ascii="宋体" w:hAnsi="宋体"/>
                <w:szCs w:val="21"/>
              </w:rPr>
            </w:pPr>
            <w:r>
              <w:rPr>
                <w:rFonts w:hint="eastAsia" w:ascii="宋体" w:hAnsi="宋体"/>
                <w:w w:val="90"/>
                <w:szCs w:val="21"/>
              </w:rPr>
              <w:t>通用能力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pacing w:line="240" w:lineRule="atLeast"/>
              <w:jc w:val="center"/>
              <w:rPr>
                <w:rFonts w:ascii="宋体" w:hAnsi="宋体"/>
                <w:szCs w:val="21"/>
              </w:rPr>
            </w:pPr>
            <w:r>
              <w:rPr>
                <w:rFonts w:hint="eastAsia" w:ascii="宋体" w:hAnsi="宋体"/>
                <w:szCs w:val="21"/>
              </w:rPr>
              <w:t>创新创业能力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pacing w:line="240" w:lineRule="atLeast"/>
              <w:jc w:val="center"/>
              <w:rPr>
                <w:rFonts w:ascii="宋体" w:hAnsi="宋体"/>
                <w:szCs w:val="21"/>
              </w:rPr>
            </w:pPr>
            <w:r>
              <w:rPr>
                <w:rFonts w:hint="eastAsia" w:ascii="宋体" w:hAnsi="宋体"/>
                <w:szCs w:val="21"/>
              </w:rPr>
              <w:t>专业实践能力</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restart"/>
            <w:vAlign w:val="center"/>
          </w:tcPr>
          <w:p>
            <w:pPr>
              <w:spacing w:line="240" w:lineRule="atLeast"/>
              <w:jc w:val="center"/>
              <w:rPr>
                <w:rFonts w:ascii="宋体" w:hAnsi="宋体"/>
                <w:bCs/>
                <w:szCs w:val="21"/>
              </w:rPr>
            </w:pPr>
            <w:r>
              <w:rPr>
                <w:rFonts w:hint="eastAsia" w:ascii="宋体" w:hAnsi="宋体"/>
                <w:bCs/>
                <w:szCs w:val="21"/>
              </w:rPr>
              <w:t>素</w:t>
            </w:r>
          </w:p>
          <w:p>
            <w:pPr>
              <w:spacing w:line="240" w:lineRule="atLeast"/>
              <w:jc w:val="center"/>
              <w:rPr>
                <w:rFonts w:ascii="宋体" w:hAnsi="宋体"/>
                <w:bCs/>
                <w:szCs w:val="21"/>
              </w:rPr>
            </w:pPr>
            <w:r>
              <w:rPr>
                <w:rFonts w:hint="eastAsia" w:ascii="宋体" w:hAnsi="宋体"/>
                <w:bCs/>
                <w:szCs w:val="21"/>
              </w:rPr>
              <w:t>质</w:t>
            </w:r>
          </w:p>
          <w:p>
            <w:pPr>
              <w:spacing w:line="240" w:lineRule="atLeast"/>
              <w:jc w:val="center"/>
              <w:rPr>
                <w:rFonts w:ascii="宋体" w:hAnsi="宋体"/>
                <w:bCs/>
                <w:szCs w:val="21"/>
              </w:rPr>
            </w:pPr>
            <w:r>
              <w:rPr>
                <w:rFonts w:hint="eastAsia" w:ascii="宋体" w:hAnsi="宋体"/>
                <w:bCs/>
                <w:szCs w:val="21"/>
              </w:rPr>
              <w:t>结</w:t>
            </w:r>
          </w:p>
          <w:p>
            <w:pPr>
              <w:spacing w:line="240" w:lineRule="atLeast"/>
              <w:jc w:val="center"/>
              <w:rPr>
                <w:rFonts w:ascii="宋体" w:hAnsi="宋体"/>
                <w:bCs/>
                <w:szCs w:val="21"/>
              </w:rPr>
            </w:pPr>
            <w:r>
              <w:rPr>
                <w:rFonts w:hint="eastAsia" w:ascii="宋体" w:hAnsi="宋体"/>
                <w:bCs/>
                <w:szCs w:val="21"/>
              </w:rPr>
              <w:t>构</w:t>
            </w:r>
          </w:p>
        </w:tc>
        <w:tc>
          <w:tcPr>
            <w:tcW w:w="1622" w:type="dxa"/>
            <w:vAlign w:val="center"/>
          </w:tcPr>
          <w:p>
            <w:pPr>
              <w:spacing w:line="240" w:lineRule="atLeast"/>
              <w:jc w:val="center"/>
              <w:rPr>
                <w:rFonts w:ascii="宋体" w:hAnsi="宋体"/>
                <w:spacing w:val="-8"/>
                <w:w w:val="90"/>
                <w:szCs w:val="21"/>
              </w:rPr>
            </w:pPr>
            <w:r>
              <w:rPr>
                <w:rFonts w:hint="eastAsia" w:ascii="宋体" w:hAnsi="宋体"/>
                <w:spacing w:val="-8"/>
                <w:w w:val="90"/>
                <w:szCs w:val="21"/>
              </w:rPr>
              <w:t>思想道德素质</w:t>
            </w:r>
          </w:p>
        </w:tc>
        <w:tc>
          <w:tcPr>
            <w:tcW w:w="2652" w:type="dxa"/>
            <w:vAlign w:val="center"/>
          </w:tcPr>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napToGrid w:val="0"/>
              <w:spacing w:line="240" w:lineRule="atLeast"/>
              <w:jc w:val="center"/>
              <w:rPr>
                <w:rFonts w:ascii="宋体" w:hAnsi="宋体"/>
                <w:szCs w:val="21"/>
              </w:rPr>
            </w:pPr>
            <w:r>
              <w:rPr>
                <w:rFonts w:hint="eastAsia" w:ascii="宋体" w:hAnsi="宋体"/>
                <w:szCs w:val="21"/>
              </w:rPr>
              <w:t>专业素质</w:t>
            </w:r>
          </w:p>
        </w:tc>
        <w:tc>
          <w:tcPr>
            <w:tcW w:w="2652" w:type="dxa"/>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18" w:type="dxa"/>
            <w:vMerge w:val="continue"/>
            <w:vAlign w:val="center"/>
          </w:tcPr>
          <w:p>
            <w:pPr>
              <w:spacing w:line="240" w:lineRule="atLeast"/>
              <w:ind w:firstLine="420" w:firstLineChars="200"/>
              <w:jc w:val="center"/>
              <w:rPr>
                <w:rFonts w:ascii="宋体" w:hAnsi="宋体"/>
                <w:bCs/>
                <w:szCs w:val="21"/>
              </w:rPr>
            </w:pPr>
          </w:p>
        </w:tc>
        <w:tc>
          <w:tcPr>
            <w:tcW w:w="1622" w:type="dxa"/>
            <w:vAlign w:val="center"/>
          </w:tcPr>
          <w:p>
            <w:pPr>
              <w:snapToGrid w:val="0"/>
              <w:spacing w:line="240" w:lineRule="atLeast"/>
              <w:jc w:val="center"/>
              <w:rPr>
                <w:rFonts w:ascii="宋体" w:hAnsi="宋体"/>
                <w:szCs w:val="21"/>
              </w:rPr>
            </w:pPr>
            <w:r>
              <w:rPr>
                <w:rFonts w:hint="eastAsia" w:ascii="宋体" w:hAnsi="宋体"/>
                <w:szCs w:val="21"/>
              </w:rPr>
              <w:t>身心素质</w:t>
            </w:r>
          </w:p>
        </w:tc>
        <w:tc>
          <w:tcPr>
            <w:tcW w:w="2652" w:type="dxa"/>
            <w:vAlign w:val="center"/>
          </w:tcPr>
          <w:p>
            <w:pPr>
              <w:spacing w:line="240" w:lineRule="atLeast"/>
              <w:jc w:val="center"/>
              <w:rPr>
                <w:rFonts w:ascii="宋体" w:hAnsi="宋体"/>
                <w:szCs w:val="21"/>
              </w:rPr>
            </w:pPr>
          </w:p>
          <w:p>
            <w:pPr>
              <w:spacing w:line="240" w:lineRule="atLeast"/>
              <w:jc w:val="center"/>
              <w:rPr>
                <w:rFonts w:ascii="宋体" w:hAnsi="宋体"/>
                <w:szCs w:val="21"/>
              </w:rPr>
            </w:pPr>
          </w:p>
        </w:tc>
        <w:tc>
          <w:tcPr>
            <w:tcW w:w="2835" w:type="dxa"/>
            <w:vAlign w:val="center"/>
          </w:tcPr>
          <w:p>
            <w:pPr>
              <w:spacing w:line="240" w:lineRule="atLeast"/>
              <w:jc w:val="center"/>
              <w:rPr>
                <w:rFonts w:ascii="宋体" w:hAnsi="宋体"/>
                <w:szCs w:val="21"/>
              </w:rPr>
            </w:pPr>
          </w:p>
        </w:tc>
      </w:tr>
    </w:tbl>
    <w:p>
      <w:pPr>
        <w:spacing w:line="360" w:lineRule="auto"/>
        <w:ind w:firstLine="472" w:firstLineChars="196"/>
        <w:rPr>
          <w:rFonts w:ascii="宋体" w:hAnsi="宋体"/>
          <w:b/>
          <w:bCs/>
          <w:color w:val="000000"/>
          <w:sz w:val="24"/>
          <w:szCs w:val="24"/>
        </w:rPr>
      </w:pPr>
      <w:r>
        <w:rPr>
          <w:rFonts w:hint="eastAsia" w:ascii="宋体" w:hAnsi="宋体" w:cs="宋体"/>
          <w:b/>
          <w:bCs/>
          <w:color w:val="000000"/>
          <w:sz w:val="24"/>
          <w:szCs w:val="24"/>
        </w:rPr>
        <w:t>五、毕业总学分和总学时</w:t>
      </w:r>
    </w:p>
    <w:p>
      <w:pPr>
        <w:spacing w:line="360" w:lineRule="auto"/>
        <w:ind w:firstLine="472" w:firstLineChars="196"/>
        <w:rPr>
          <w:rFonts w:ascii="宋体" w:hAnsi="宋体"/>
          <w:b/>
          <w:bCs/>
          <w:color w:val="000000"/>
          <w:sz w:val="24"/>
          <w:szCs w:val="24"/>
        </w:rPr>
      </w:pPr>
      <w:r>
        <w:rPr>
          <w:rFonts w:hint="eastAsia" w:ascii="宋体" w:hAnsi="宋体" w:cs="宋体"/>
          <w:b/>
          <w:bCs/>
          <w:color w:val="000000"/>
          <w:sz w:val="24"/>
          <w:szCs w:val="24"/>
        </w:rPr>
        <w:t>六、专业核心课程说明</w:t>
      </w:r>
    </w:p>
    <w:tbl>
      <w:tblPr>
        <w:tblStyle w:val="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275"/>
        <w:gridCol w:w="1887"/>
        <w:gridCol w:w="710"/>
        <w:gridCol w:w="711"/>
        <w:gridCol w:w="66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trPr>
        <w:tc>
          <w:tcPr>
            <w:tcW w:w="709"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序号</w:t>
            </w:r>
          </w:p>
        </w:tc>
        <w:tc>
          <w:tcPr>
            <w:tcW w:w="1275"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课程编码</w:t>
            </w:r>
          </w:p>
        </w:tc>
        <w:tc>
          <w:tcPr>
            <w:tcW w:w="1887"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课程名称</w:t>
            </w: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课时</w:t>
            </w:r>
          </w:p>
        </w:tc>
        <w:tc>
          <w:tcPr>
            <w:tcW w:w="661"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bCs/>
                <w:szCs w:val="21"/>
              </w:rPr>
              <w:t>学分</w:t>
            </w:r>
          </w:p>
        </w:tc>
        <w:tc>
          <w:tcPr>
            <w:tcW w:w="1985" w:type="dxa"/>
            <w:vMerge w:val="restart"/>
            <w:shd w:val="clear" w:color="auto" w:fill="auto"/>
            <w:vAlign w:val="center"/>
          </w:tcPr>
          <w:p>
            <w:pPr>
              <w:tabs>
                <w:tab w:val="left" w:pos="3206"/>
                <w:tab w:val="left" w:pos="6120"/>
              </w:tabs>
              <w:spacing w:line="360" w:lineRule="auto"/>
              <w:jc w:val="center"/>
              <w:rPr>
                <w:rFonts w:ascii="宋体" w:hAnsi="宋体" w:cs="宋体"/>
                <w:color w:val="000000"/>
                <w:kern w:val="0"/>
                <w:szCs w:val="21"/>
              </w:rPr>
            </w:pPr>
            <w:r>
              <w:rPr>
                <w:rFonts w:hint="eastAsia" w:ascii="宋体" w:hAnsi="宋体" w:cs="宋体"/>
                <w:color w:val="000000"/>
                <w:kern w:val="0"/>
                <w:szCs w:val="21"/>
              </w:rPr>
              <w:t>培养能力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709"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275"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887"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710"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理论</w:t>
            </w:r>
          </w:p>
        </w:tc>
        <w:tc>
          <w:tcPr>
            <w:tcW w:w="711"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实践</w:t>
            </w:r>
          </w:p>
        </w:tc>
        <w:tc>
          <w:tcPr>
            <w:tcW w:w="661" w:type="dxa"/>
            <w:vMerge w:val="continue"/>
            <w:shd w:val="clear" w:color="auto" w:fill="auto"/>
            <w:vAlign w:val="center"/>
          </w:tcPr>
          <w:p>
            <w:pPr>
              <w:tabs>
                <w:tab w:val="left" w:pos="3206"/>
                <w:tab w:val="left" w:pos="6120"/>
              </w:tabs>
              <w:spacing w:line="360" w:lineRule="auto"/>
              <w:jc w:val="center"/>
              <w:rPr>
                <w:rFonts w:ascii="宋体" w:hAnsi="宋体" w:cs="宋体"/>
                <w:bCs/>
                <w:szCs w:val="21"/>
              </w:rPr>
            </w:pPr>
          </w:p>
        </w:tc>
        <w:tc>
          <w:tcPr>
            <w:tcW w:w="1985" w:type="dxa"/>
            <w:vMerge w:val="continue"/>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Cs/>
                <w:szCs w:val="21"/>
              </w:rPr>
            </w:pPr>
            <w:r>
              <w:rPr>
                <w:rFonts w:hint="eastAsia" w:ascii="宋体" w:hAnsi="宋体" w:cs="宋体"/>
                <w:bCs/>
                <w:szCs w:val="21"/>
              </w:rPr>
              <w:t>1</w:t>
            </w:r>
          </w:p>
        </w:tc>
        <w:tc>
          <w:tcPr>
            <w:tcW w:w="1275"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2</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3</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4</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hint="eastAsia" w:ascii="宋体" w:hAnsi="宋体" w:cs="宋体"/>
                <w:b/>
                <w:bCs/>
                <w:szCs w:val="21"/>
              </w:rPr>
              <w:t>5</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709" w:type="dxa"/>
            <w:shd w:val="clear" w:color="auto" w:fill="auto"/>
            <w:vAlign w:val="center"/>
          </w:tcPr>
          <w:p>
            <w:pPr>
              <w:tabs>
                <w:tab w:val="left" w:pos="3206"/>
                <w:tab w:val="left" w:pos="6120"/>
              </w:tabs>
              <w:spacing w:line="360" w:lineRule="auto"/>
              <w:jc w:val="center"/>
              <w:rPr>
                <w:rFonts w:ascii="宋体" w:hAnsi="宋体" w:cs="宋体"/>
                <w:b/>
                <w:bCs/>
                <w:szCs w:val="21"/>
              </w:rPr>
            </w:pPr>
            <w:r>
              <w:rPr>
                <w:rFonts w:ascii="宋体" w:hAnsi="宋体" w:cs="宋体"/>
                <w:b/>
                <w:bCs/>
                <w:szCs w:val="21"/>
              </w:rPr>
              <w:t>……</w:t>
            </w:r>
          </w:p>
        </w:tc>
        <w:tc>
          <w:tcPr>
            <w:tcW w:w="1275"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887"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421" w:type="dxa"/>
            <w:gridSpan w:val="2"/>
            <w:shd w:val="clear" w:color="auto" w:fill="auto"/>
            <w:vAlign w:val="center"/>
          </w:tcPr>
          <w:p>
            <w:pPr>
              <w:tabs>
                <w:tab w:val="left" w:pos="3206"/>
                <w:tab w:val="left" w:pos="6120"/>
              </w:tabs>
              <w:spacing w:line="360" w:lineRule="auto"/>
              <w:jc w:val="center"/>
              <w:rPr>
                <w:rFonts w:ascii="宋体" w:hAnsi="宋体" w:cs="宋体"/>
                <w:b/>
                <w:bCs/>
                <w:szCs w:val="21"/>
              </w:rPr>
            </w:pPr>
          </w:p>
        </w:tc>
        <w:tc>
          <w:tcPr>
            <w:tcW w:w="661" w:type="dxa"/>
            <w:shd w:val="clear" w:color="auto" w:fill="auto"/>
            <w:vAlign w:val="center"/>
          </w:tcPr>
          <w:p>
            <w:pPr>
              <w:tabs>
                <w:tab w:val="left" w:pos="3206"/>
                <w:tab w:val="left" w:pos="6120"/>
              </w:tabs>
              <w:spacing w:line="360" w:lineRule="auto"/>
              <w:jc w:val="center"/>
              <w:rPr>
                <w:rFonts w:ascii="宋体" w:hAnsi="宋体" w:cs="宋体"/>
                <w:b/>
                <w:bCs/>
                <w:szCs w:val="21"/>
              </w:rPr>
            </w:pPr>
          </w:p>
        </w:tc>
        <w:tc>
          <w:tcPr>
            <w:tcW w:w="1985" w:type="dxa"/>
            <w:shd w:val="clear" w:color="auto" w:fill="auto"/>
            <w:vAlign w:val="center"/>
          </w:tcPr>
          <w:p>
            <w:pPr>
              <w:tabs>
                <w:tab w:val="left" w:pos="3206"/>
                <w:tab w:val="left" w:pos="6120"/>
              </w:tabs>
              <w:spacing w:line="360" w:lineRule="auto"/>
              <w:jc w:val="center"/>
              <w:rPr>
                <w:rFonts w:ascii="宋体" w:hAnsi="宋体" w:cs="宋体"/>
                <w:color w:val="000000"/>
                <w:kern w:val="0"/>
                <w:szCs w:val="21"/>
              </w:rPr>
            </w:pPr>
          </w:p>
        </w:tc>
      </w:tr>
    </w:tbl>
    <w:p>
      <w:pPr>
        <w:spacing w:line="360" w:lineRule="auto"/>
        <w:ind w:firstLine="495"/>
        <w:rPr>
          <w:rFonts w:ascii="宋体" w:hAnsi="宋体" w:cs="宋体"/>
          <w:b/>
          <w:bCs/>
          <w:color w:val="000000"/>
          <w:sz w:val="24"/>
          <w:szCs w:val="24"/>
        </w:rPr>
      </w:pPr>
      <w:r>
        <w:rPr>
          <w:rFonts w:hint="eastAsia" w:ascii="宋体" w:hAnsi="宋体" w:cs="宋体"/>
          <w:b/>
          <w:bCs/>
          <w:color w:val="000000"/>
          <w:sz w:val="24"/>
          <w:szCs w:val="24"/>
        </w:rPr>
        <w:t>七、实践教学</w:t>
      </w:r>
    </w:p>
    <w:p>
      <w:pPr>
        <w:spacing w:line="360" w:lineRule="auto"/>
        <w:ind w:firstLine="495"/>
        <w:rPr>
          <w:rFonts w:ascii="宋体" w:hAnsi="宋体" w:cs="宋体"/>
          <w:bCs/>
          <w:color w:val="000000"/>
          <w:sz w:val="24"/>
          <w:szCs w:val="24"/>
        </w:rPr>
      </w:pPr>
      <w:r>
        <w:rPr>
          <w:rFonts w:hint="eastAsia" w:ascii="宋体" w:hAnsi="宋体" w:cs="宋体"/>
          <w:bCs/>
          <w:color w:val="000000"/>
          <w:sz w:val="24"/>
          <w:szCs w:val="24"/>
        </w:rPr>
        <w:t>（一）实践教学体系</w:t>
      </w:r>
    </w:p>
    <w:p>
      <w:pPr>
        <w:spacing w:line="360" w:lineRule="auto"/>
        <w:ind w:firstLine="495"/>
        <w:rPr>
          <w:rFonts w:ascii="宋体" w:hAnsi="宋体"/>
          <w:bCs/>
          <w:color w:val="000000"/>
          <w:sz w:val="24"/>
          <w:szCs w:val="24"/>
        </w:rPr>
      </w:pPr>
      <w:r>
        <w:rPr>
          <w:rFonts w:hint="eastAsia" w:ascii="宋体" w:hAnsi="宋体" w:cs="宋体"/>
          <w:sz w:val="24"/>
          <w:szCs w:val="24"/>
        </w:rPr>
        <w:t>（二）</w:t>
      </w:r>
      <w:r>
        <w:rPr>
          <w:rFonts w:hint="eastAsia" w:ascii="宋体" w:hAnsi="宋体" w:cs="宋体"/>
          <w:bCs/>
          <w:color w:val="000000"/>
          <w:sz w:val="24"/>
          <w:szCs w:val="24"/>
        </w:rPr>
        <w:t>主要专业实验（实训）</w:t>
      </w:r>
    </w:p>
    <w:p>
      <w:pPr>
        <w:spacing w:line="360" w:lineRule="auto"/>
        <w:ind w:firstLine="480" w:firstLineChars="200"/>
        <w:rPr>
          <w:rFonts w:ascii="宋体" w:hAnsi="宋体" w:cs="宋体"/>
          <w:sz w:val="24"/>
          <w:szCs w:val="24"/>
        </w:rPr>
      </w:pPr>
      <w:r>
        <w:rPr>
          <w:rFonts w:hint="eastAsia" w:ascii="宋体" w:hAnsi="宋体" w:cs="宋体"/>
          <w:sz w:val="24"/>
          <w:szCs w:val="24"/>
        </w:rPr>
        <w:t>（三）主要集中性实践教学环节</w:t>
      </w:r>
    </w:p>
    <w:p>
      <w:pPr>
        <w:spacing w:line="360" w:lineRule="auto"/>
        <w:ind w:firstLine="482" w:firstLineChars="200"/>
        <w:rPr>
          <w:rFonts w:ascii="宋体" w:hAnsi="宋体" w:cs="宋体"/>
          <w:sz w:val="24"/>
          <w:szCs w:val="24"/>
        </w:rPr>
      </w:pPr>
      <w:r>
        <w:rPr>
          <w:rFonts w:hint="eastAsia" w:ascii="宋体" w:hAnsi="宋体" w:cs="宋体"/>
          <w:b/>
          <w:sz w:val="24"/>
          <w:szCs w:val="24"/>
        </w:rPr>
        <w:t>八</w:t>
      </w:r>
      <w:r>
        <w:rPr>
          <w:rFonts w:hint="eastAsia" w:ascii="宋体" w:hAnsi="宋体" w:cs="宋体"/>
          <w:b/>
          <w:bCs/>
          <w:color w:val="000000"/>
          <w:sz w:val="24"/>
          <w:szCs w:val="24"/>
        </w:rPr>
        <w:t>、毕业及学位要求</w:t>
      </w:r>
    </w:p>
    <w:p>
      <w:pPr>
        <w:spacing w:line="360" w:lineRule="auto"/>
        <w:ind w:firstLine="480" w:firstLineChars="200"/>
        <w:rPr>
          <w:rFonts w:ascii="宋体" w:hAnsi="宋体"/>
          <w:sz w:val="24"/>
          <w:szCs w:val="24"/>
        </w:rPr>
      </w:pPr>
      <w:r>
        <w:rPr>
          <w:rFonts w:hint="eastAsia" w:ascii="宋体" w:hAnsi="宋体" w:cs="宋体"/>
          <w:sz w:val="24"/>
          <w:szCs w:val="24"/>
        </w:rPr>
        <w:t>(一)毕业资格</w:t>
      </w:r>
    </w:p>
    <w:p>
      <w:pPr>
        <w:spacing w:line="360" w:lineRule="auto"/>
        <w:ind w:firstLine="480" w:firstLineChars="200"/>
        <w:rPr>
          <w:rFonts w:ascii="宋体" w:hAnsi="宋体"/>
          <w:sz w:val="24"/>
          <w:szCs w:val="24"/>
        </w:rPr>
      </w:pPr>
      <w:r>
        <w:rPr>
          <w:rFonts w:hint="eastAsia" w:ascii="宋体" w:hAnsi="宋体" w:cs="宋体"/>
          <w:sz w:val="24"/>
          <w:szCs w:val="24"/>
        </w:rPr>
        <w:t>在规定的修业年限内修完培养方案规定的全部课程，修满规定的最低总学分××学分，其中必修课最低××学分、选修课最低××学分，取得毕业资格。</w:t>
      </w:r>
    </w:p>
    <w:p>
      <w:pPr>
        <w:spacing w:line="360" w:lineRule="auto"/>
        <w:ind w:firstLine="480" w:firstLineChars="200"/>
        <w:outlineLvl w:val="0"/>
        <w:rPr>
          <w:rFonts w:ascii="宋体" w:hAnsi="宋体"/>
          <w:sz w:val="24"/>
          <w:szCs w:val="24"/>
        </w:rPr>
      </w:pPr>
      <w:r>
        <w:rPr>
          <w:rFonts w:hint="eastAsia" w:ascii="宋体" w:hAnsi="宋体" w:cs="宋体"/>
          <w:sz w:val="24"/>
          <w:szCs w:val="24"/>
        </w:rPr>
        <w:t>(二)学位授予</w:t>
      </w:r>
    </w:p>
    <w:p>
      <w:pPr>
        <w:spacing w:line="360" w:lineRule="auto"/>
        <w:ind w:firstLine="480" w:firstLineChars="200"/>
        <w:rPr>
          <w:rFonts w:ascii="宋体" w:hAnsi="宋体" w:cs="宋体"/>
          <w:sz w:val="24"/>
          <w:szCs w:val="24"/>
        </w:rPr>
      </w:pPr>
      <w:r>
        <w:rPr>
          <w:rFonts w:hint="eastAsia" w:ascii="宋体" w:hAnsi="宋体" w:cs="宋体"/>
          <w:sz w:val="24"/>
          <w:szCs w:val="24"/>
        </w:rPr>
        <w:t>取得毕业资格的学生，并符合学校学士学位授予条件的，授予××学士学位</w:t>
      </w:r>
    </w:p>
    <w:p>
      <w:pPr>
        <w:spacing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九、附表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1. 课程体系结构及学分学时分配比例表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2. 专业教学计划进程表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3. 专业社会实践学分认定表</w:t>
      </w:r>
    </w:p>
    <w:p>
      <w:pPr>
        <w:spacing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5. 专业培养方案总体安排及教学周数分配表</w:t>
      </w:r>
    </w:p>
    <w:p>
      <w:pPr>
        <w:spacing w:line="360" w:lineRule="auto"/>
        <w:ind w:firstLine="482" w:firstLineChars="200"/>
        <w:rPr>
          <w:rFonts w:ascii="宋体" w:hAnsi="宋体" w:cs="宋体"/>
          <w:b/>
          <w:bCs/>
          <w:color w:val="000000"/>
          <w:sz w:val="24"/>
          <w:szCs w:val="24"/>
        </w:rPr>
      </w:pPr>
    </w:p>
    <w:p>
      <w:pPr>
        <w:spacing w:line="360" w:lineRule="auto"/>
        <w:ind w:firstLine="480" w:firstLineChars="200"/>
        <w:rPr>
          <w:rFonts w:hint="eastAsia" w:ascii="宋体" w:hAnsi="宋体"/>
          <w:sz w:val="24"/>
          <w:szCs w:val="24"/>
        </w:rPr>
      </w:pPr>
      <w:r>
        <w:rPr>
          <w:rFonts w:hint="eastAsia" w:ascii="宋体" w:hAnsi="宋体"/>
          <w:sz w:val="24"/>
          <w:szCs w:val="24"/>
        </w:rPr>
        <w:t xml:space="preserve">院长：                    审核人：                    撰写人： </w:t>
      </w: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p>
      <w:pPr>
        <w:spacing w:line="360" w:lineRule="auto"/>
        <w:ind w:firstLine="480" w:firstLineChars="200"/>
        <w:rPr>
          <w:rFonts w:hint="eastAsia" w:ascii="宋体" w:hAnsi="宋体"/>
          <w:sz w:val="24"/>
          <w:szCs w:val="24"/>
        </w:rPr>
      </w:pPr>
    </w:p>
    <w:sectPr>
      <w:headerReference r:id="rId5" w:type="default"/>
      <w:footerReference r:id="rId6" w:type="default"/>
      <w:pgSz w:w="11906" w:h="16838"/>
      <w:pgMar w:top="1418" w:right="1797" w:bottom="1418" w:left="179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0000000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rPr>
      <w:t>-</w:t>
    </w:r>
    <w:r>
      <w:t xml:space="preserve"> 1 -</w:t>
    </w:r>
    <w: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0" w:lineRule="atLeast"/>
    </w:pPr>
  </w:p>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TJlMDI1NDQxYjdiODE4NDE2ZGFjYmQzZTEwNWZjMWUifQ=="/>
  </w:docVars>
  <w:rsids>
    <w:rsidRoot w:val="004E7549"/>
    <w:rsid w:val="00001A88"/>
    <w:rsid w:val="00001CD6"/>
    <w:rsid w:val="000079C1"/>
    <w:rsid w:val="00017FE1"/>
    <w:rsid w:val="00022187"/>
    <w:rsid w:val="00022323"/>
    <w:rsid w:val="000310C0"/>
    <w:rsid w:val="000440D4"/>
    <w:rsid w:val="00044623"/>
    <w:rsid w:val="00060DF2"/>
    <w:rsid w:val="00061E3A"/>
    <w:rsid w:val="00063510"/>
    <w:rsid w:val="00076351"/>
    <w:rsid w:val="00080911"/>
    <w:rsid w:val="000814C2"/>
    <w:rsid w:val="00083B10"/>
    <w:rsid w:val="00086332"/>
    <w:rsid w:val="000879FE"/>
    <w:rsid w:val="00087A08"/>
    <w:rsid w:val="000A0228"/>
    <w:rsid w:val="000A4B90"/>
    <w:rsid w:val="000B56ED"/>
    <w:rsid w:val="000B6102"/>
    <w:rsid w:val="000B72C4"/>
    <w:rsid w:val="000B73AB"/>
    <w:rsid w:val="000C5ECA"/>
    <w:rsid w:val="000D0431"/>
    <w:rsid w:val="000D6B1C"/>
    <w:rsid w:val="000D6D07"/>
    <w:rsid w:val="000D77CC"/>
    <w:rsid w:val="000E171F"/>
    <w:rsid w:val="000E2309"/>
    <w:rsid w:val="000E5558"/>
    <w:rsid w:val="000E7084"/>
    <w:rsid w:val="000F4035"/>
    <w:rsid w:val="000F6F96"/>
    <w:rsid w:val="001020D3"/>
    <w:rsid w:val="00103A77"/>
    <w:rsid w:val="00103E1B"/>
    <w:rsid w:val="001065AC"/>
    <w:rsid w:val="0010682A"/>
    <w:rsid w:val="00107F0E"/>
    <w:rsid w:val="001165AB"/>
    <w:rsid w:val="001169DA"/>
    <w:rsid w:val="00117D06"/>
    <w:rsid w:val="00121F8B"/>
    <w:rsid w:val="0012367B"/>
    <w:rsid w:val="001274E1"/>
    <w:rsid w:val="001313F5"/>
    <w:rsid w:val="001317CD"/>
    <w:rsid w:val="001320E0"/>
    <w:rsid w:val="00137382"/>
    <w:rsid w:val="0014074E"/>
    <w:rsid w:val="00142BA6"/>
    <w:rsid w:val="00144773"/>
    <w:rsid w:val="00146EA0"/>
    <w:rsid w:val="001505C0"/>
    <w:rsid w:val="00150B96"/>
    <w:rsid w:val="001539B3"/>
    <w:rsid w:val="00160827"/>
    <w:rsid w:val="00162988"/>
    <w:rsid w:val="001659FC"/>
    <w:rsid w:val="00170465"/>
    <w:rsid w:val="0017495A"/>
    <w:rsid w:val="001834FC"/>
    <w:rsid w:val="001867C7"/>
    <w:rsid w:val="00190281"/>
    <w:rsid w:val="001932FA"/>
    <w:rsid w:val="00195AA0"/>
    <w:rsid w:val="00196034"/>
    <w:rsid w:val="0019654B"/>
    <w:rsid w:val="001974F3"/>
    <w:rsid w:val="00197655"/>
    <w:rsid w:val="001A1125"/>
    <w:rsid w:val="001A11FD"/>
    <w:rsid w:val="001A2510"/>
    <w:rsid w:val="001A46F0"/>
    <w:rsid w:val="001A5815"/>
    <w:rsid w:val="001B3130"/>
    <w:rsid w:val="001B3356"/>
    <w:rsid w:val="001B577A"/>
    <w:rsid w:val="001B5FD9"/>
    <w:rsid w:val="001C5C4A"/>
    <w:rsid w:val="001C6411"/>
    <w:rsid w:val="001D046A"/>
    <w:rsid w:val="001D528A"/>
    <w:rsid w:val="001D597E"/>
    <w:rsid w:val="001E018F"/>
    <w:rsid w:val="001E06D5"/>
    <w:rsid w:val="001E11FD"/>
    <w:rsid w:val="001E2425"/>
    <w:rsid w:val="001E2EFE"/>
    <w:rsid w:val="001E3049"/>
    <w:rsid w:val="001F0D46"/>
    <w:rsid w:val="001F729A"/>
    <w:rsid w:val="002139E3"/>
    <w:rsid w:val="00213CD6"/>
    <w:rsid w:val="0021515D"/>
    <w:rsid w:val="00223735"/>
    <w:rsid w:val="002272A1"/>
    <w:rsid w:val="002272E5"/>
    <w:rsid w:val="0022784A"/>
    <w:rsid w:val="00237631"/>
    <w:rsid w:val="00244A9D"/>
    <w:rsid w:val="00256527"/>
    <w:rsid w:val="0026115C"/>
    <w:rsid w:val="00261B51"/>
    <w:rsid w:val="00272572"/>
    <w:rsid w:val="0027323B"/>
    <w:rsid w:val="00281CE4"/>
    <w:rsid w:val="00282597"/>
    <w:rsid w:val="0028332E"/>
    <w:rsid w:val="002848B0"/>
    <w:rsid w:val="002917D4"/>
    <w:rsid w:val="00291A1D"/>
    <w:rsid w:val="00292ADA"/>
    <w:rsid w:val="00296586"/>
    <w:rsid w:val="00297FB3"/>
    <w:rsid w:val="002A301D"/>
    <w:rsid w:val="002A7094"/>
    <w:rsid w:val="002B11EA"/>
    <w:rsid w:val="002B2AE6"/>
    <w:rsid w:val="002B4D8B"/>
    <w:rsid w:val="002B71C7"/>
    <w:rsid w:val="002D5A5D"/>
    <w:rsid w:val="002E3E6B"/>
    <w:rsid w:val="002E59D8"/>
    <w:rsid w:val="002F2E5B"/>
    <w:rsid w:val="002F4C24"/>
    <w:rsid w:val="002F606E"/>
    <w:rsid w:val="002F645A"/>
    <w:rsid w:val="002F6A62"/>
    <w:rsid w:val="003031AF"/>
    <w:rsid w:val="003038C4"/>
    <w:rsid w:val="003064C5"/>
    <w:rsid w:val="003131B0"/>
    <w:rsid w:val="00321F05"/>
    <w:rsid w:val="00325564"/>
    <w:rsid w:val="003261CE"/>
    <w:rsid w:val="0032634D"/>
    <w:rsid w:val="00331FF4"/>
    <w:rsid w:val="00340917"/>
    <w:rsid w:val="00354B63"/>
    <w:rsid w:val="003559D7"/>
    <w:rsid w:val="00355E71"/>
    <w:rsid w:val="003574FF"/>
    <w:rsid w:val="003619E3"/>
    <w:rsid w:val="00362721"/>
    <w:rsid w:val="00366BDE"/>
    <w:rsid w:val="0036779A"/>
    <w:rsid w:val="0037496C"/>
    <w:rsid w:val="003767AA"/>
    <w:rsid w:val="0037763E"/>
    <w:rsid w:val="003806BF"/>
    <w:rsid w:val="00385868"/>
    <w:rsid w:val="00385FF0"/>
    <w:rsid w:val="003861D0"/>
    <w:rsid w:val="003863E9"/>
    <w:rsid w:val="00386B2A"/>
    <w:rsid w:val="00395A88"/>
    <w:rsid w:val="003A00A8"/>
    <w:rsid w:val="003A198F"/>
    <w:rsid w:val="003A5BA2"/>
    <w:rsid w:val="003A6024"/>
    <w:rsid w:val="003A6DE0"/>
    <w:rsid w:val="003B6E86"/>
    <w:rsid w:val="003B79C7"/>
    <w:rsid w:val="003C07AC"/>
    <w:rsid w:val="003C3A9F"/>
    <w:rsid w:val="003C3FB2"/>
    <w:rsid w:val="003C701D"/>
    <w:rsid w:val="003C734B"/>
    <w:rsid w:val="003C763A"/>
    <w:rsid w:val="003C7CCA"/>
    <w:rsid w:val="003D0C77"/>
    <w:rsid w:val="003D3F82"/>
    <w:rsid w:val="003D55D2"/>
    <w:rsid w:val="003D5817"/>
    <w:rsid w:val="003D6800"/>
    <w:rsid w:val="003D7708"/>
    <w:rsid w:val="003E29FD"/>
    <w:rsid w:val="003F54BB"/>
    <w:rsid w:val="003F74C1"/>
    <w:rsid w:val="004040CC"/>
    <w:rsid w:val="0040484A"/>
    <w:rsid w:val="0040487B"/>
    <w:rsid w:val="00407FEF"/>
    <w:rsid w:val="0041316E"/>
    <w:rsid w:val="004131F7"/>
    <w:rsid w:val="004206DD"/>
    <w:rsid w:val="00427F2D"/>
    <w:rsid w:val="00436A71"/>
    <w:rsid w:val="00436E94"/>
    <w:rsid w:val="0044186B"/>
    <w:rsid w:val="004435DA"/>
    <w:rsid w:val="004508A8"/>
    <w:rsid w:val="00452381"/>
    <w:rsid w:val="004523E3"/>
    <w:rsid w:val="00452FCD"/>
    <w:rsid w:val="00456765"/>
    <w:rsid w:val="00456FB8"/>
    <w:rsid w:val="00464C3E"/>
    <w:rsid w:val="00472D09"/>
    <w:rsid w:val="00474C73"/>
    <w:rsid w:val="00477F25"/>
    <w:rsid w:val="00481169"/>
    <w:rsid w:val="004864B3"/>
    <w:rsid w:val="004900ED"/>
    <w:rsid w:val="004908A4"/>
    <w:rsid w:val="00491A49"/>
    <w:rsid w:val="00497A23"/>
    <w:rsid w:val="004A076A"/>
    <w:rsid w:val="004A154E"/>
    <w:rsid w:val="004B3A96"/>
    <w:rsid w:val="004B48AD"/>
    <w:rsid w:val="004B4B17"/>
    <w:rsid w:val="004C1BAD"/>
    <w:rsid w:val="004C1BC4"/>
    <w:rsid w:val="004C76D9"/>
    <w:rsid w:val="004D20B9"/>
    <w:rsid w:val="004D73DC"/>
    <w:rsid w:val="004D7EAF"/>
    <w:rsid w:val="004E7549"/>
    <w:rsid w:val="004E7D07"/>
    <w:rsid w:val="004F32F3"/>
    <w:rsid w:val="004F3B95"/>
    <w:rsid w:val="004F72CA"/>
    <w:rsid w:val="005042B7"/>
    <w:rsid w:val="005109F2"/>
    <w:rsid w:val="00513737"/>
    <w:rsid w:val="00514BF5"/>
    <w:rsid w:val="00526E3D"/>
    <w:rsid w:val="0053115A"/>
    <w:rsid w:val="005370BD"/>
    <w:rsid w:val="0053771E"/>
    <w:rsid w:val="00544D84"/>
    <w:rsid w:val="00546350"/>
    <w:rsid w:val="005467F9"/>
    <w:rsid w:val="00552FD6"/>
    <w:rsid w:val="00555836"/>
    <w:rsid w:val="00557FB0"/>
    <w:rsid w:val="00560490"/>
    <w:rsid w:val="00564193"/>
    <w:rsid w:val="0056788F"/>
    <w:rsid w:val="00567A12"/>
    <w:rsid w:val="00577970"/>
    <w:rsid w:val="00580216"/>
    <w:rsid w:val="00582E18"/>
    <w:rsid w:val="00583AEA"/>
    <w:rsid w:val="00584835"/>
    <w:rsid w:val="0059039B"/>
    <w:rsid w:val="00590FBF"/>
    <w:rsid w:val="00596548"/>
    <w:rsid w:val="00597CEF"/>
    <w:rsid w:val="005A06D4"/>
    <w:rsid w:val="005A0F50"/>
    <w:rsid w:val="005B105B"/>
    <w:rsid w:val="005B4232"/>
    <w:rsid w:val="005C3C75"/>
    <w:rsid w:val="005C3EF0"/>
    <w:rsid w:val="005D74CD"/>
    <w:rsid w:val="005E20D6"/>
    <w:rsid w:val="005F3BA4"/>
    <w:rsid w:val="005F78F2"/>
    <w:rsid w:val="00603A37"/>
    <w:rsid w:val="00605FC6"/>
    <w:rsid w:val="00606350"/>
    <w:rsid w:val="006065FF"/>
    <w:rsid w:val="00610B99"/>
    <w:rsid w:val="006115FB"/>
    <w:rsid w:val="00611966"/>
    <w:rsid w:val="00612795"/>
    <w:rsid w:val="0061408E"/>
    <w:rsid w:val="006142ED"/>
    <w:rsid w:val="00615622"/>
    <w:rsid w:val="006178CF"/>
    <w:rsid w:val="00624D26"/>
    <w:rsid w:val="00632B0D"/>
    <w:rsid w:val="00636051"/>
    <w:rsid w:val="0063725D"/>
    <w:rsid w:val="00641C8F"/>
    <w:rsid w:val="0064226E"/>
    <w:rsid w:val="00646C22"/>
    <w:rsid w:val="006475D4"/>
    <w:rsid w:val="00650AE4"/>
    <w:rsid w:val="006600A7"/>
    <w:rsid w:val="00662418"/>
    <w:rsid w:val="0066265B"/>
    <w:rsid w:val="00665645"/>
    <w:rsid w:val="006702AD"/>
    <w:rsid w:val="00672F21"/>
    <w:rsid w:val="006734BB"/>
    <w:rsid w:val="00683237"/>
    <w:rsid w:val="00694A8B"/>
    <w:rsid w:val="006963A4"/>
    <w:rsid w:val="006A369C"/>
    <w:rsid w:val="006A5D94"/>
    <w:rsid w:val="006A7FA4"/>
    <w:rsid w:val="006B0111"/>
    <w:rsid w:val="006B48B7"/>
    <w:rsid w:val="006B59C1"/>
    <w:rsid w:val="006B6A63"/>
    <w:rsid w:val="006C03A8"/>
    <w:rsid w:val="006C434F"/>
    <w:rsid w:val="006C5D24"/>
    <w:rsid w:val="006D4136"/>
    <w:rsid w:val="006D5B2C"/>
    <w:rsid w:val="006E1A80"/>
    <w:rsid w:val="006E37DC"/>
    <w:rsid w:val="006E5BEA"/>
    <w:rsid w:val="006E7100"/>
    <w:rsid w:val="006F751A"/>
    <w:rsid w:val="00703387"/>
    <w:rsid w:val="007061E7"/>
    <w:rsid w:val="00710682"/>
    <w:rsid w:val="00710735"/>
    <w:rsid w:val="007109B8"/>
    <w:rsid w:val="00711DB4"/>
    <w:rsid w:val="00720598"/>
    <w:rsid w:val="00720616"/>
    <w:rsid w:val="00720628"/>
    <w:rsid w:val="007214FE"/>
    <w:rsid w:val="00727EBA"/>
    <w:rsid w:val="00733132"/>
    <w:rsid w:val="00733C77"/>
    <w:rsid w:val="00734370"/>
    <w:rsid w:val="00736EFB"/>
    <w:rsid w:val="00737DDE"/>
    <w:rsid w:val="00752627"/>
    <w:rsid w:val="007574BC"/>
    <w:rsid w:val="00757A6B"/>
    <w:rsid w:val="00757C3B"/>
    <w:rsid w:val="00762ABA"/>
    <w:rsid w:val="00767744"/>
    <w:rsid w:val="007726B1"/>
    <w:rsid w:val="0077396C"/>
    <w:rsid w:val="007747F0"/>
    <w:rsid w:val="00776084"/>
    <w:rsid w:val="00780852"/>
    <w:rsid w:val="00781482"/>
    <w:rsid w:val="007819C2"/>
    <w:rsid w:val="007928AB"/>
    <w:rsid w:val="0079671F"/>
    <w:rsid w:val="007A09ED"/>
    <w:rsid w:val="007A168D"/>
    <w:rsid w:val="007A34CA"/>
    <w:rsid w:val="007A3FBA"/>
    <w:rsid w:val="007B3066"/>
    <w:rsid w:val="007B50C8"/>
    <w:rsid w:val="007C02D2"/>
    <w:rsid w:val="007C127B"/>
    <w:rsid w:val="007C5EE4"/>
    <w:rsid w:val="007D09C4"/>
    <w:rsid w:val="007D174A"/>
    <w:rsid w:val="007D2733"/>
    <w:rsid w:val="007E0DE9"/>
    <w:rsid w:val="007E0F37"/>
    <w:rsid w:val="007E532B"/>
    <w:rsid w:val="007E5345"/>
    <w:rsid w:val="007E7370"/>
    <w:rsid w:val="007E7995"/>
    <w:rsid w:val="007F3752"/>
    <w:rsid w:val="007F7A9C"/>
    <w:rsid w:val="00800A6A"/>
    <w:rsid w:val="008059CD"/>
    <w:rsid w:val="00813E9E"/>
    <w:rsid w:val="00821248"/>
    <w:rsid w:val="00825D15"/>
    <w:rsid w:val="00825E42"/>
    <w:rsid w:val="008340BE"/>
    <w:rsid w:val="00835AAE"/>
    <w:rsid w:val="008414B6"/>
    <w:rsid w:val="0085272A"/>
    <w:rsid w:val="00854C22"/>
    <w:rsid w:val="00860CCC"/>
    <w:rsid w:val="00861EAA"/>
    <w:rsid w:val="008647AE"/>
    <w:rsid w:val="008674EA"/>
    <w:rsid w:val="00870484"/>
    <w:rsid w:val="00872EF5"/>
    <w:rsid w:val="0087418F"/>
    <w:rsid w:val="008768D9"/>
    <w:rsid w:val="00877777"/>
    <w:rsid w:val="00881690"/>
    <w:rsid w:val="00881BDC"/>
    <w:rsid w:val="00886957"/>
    <w:rsid w:val="008900C1"/>
    <w:rsid w:val="0089198C"/>
    <w:rsid w:val="008950F9"/>
    <w:rsid w:val="008A392B"/>
    <w:rsid w:val="008A562C"/>
    <w:rsid w:val="008B1551"/>
    <w:rsid w:val="008B6E18"/>
    <w:rsid w:val="008C2740"/>
    <w:rsid w:val="008C2A28"/>
    <w:rsid w:val="008C4426"/>
    <w:rsid w:val="008C4FBF"/>
    <w:rsid w:val="008C56F6"/>
    <w:rsid w:val="008E1AE4"/>
    <w:rsid w:val="008E4295"/>
    <w:rsid w:val="008E6198"/>
    <w:rsid w:val="008F4E13"/>
    <w:rsid w:val="00900955"/>
    <w:rsid w:val="00901CEE"/>
    <w:rsid w:val="00901D0B"/>
    <w:rsid w:val="009030A2"/>
    <w:rsid w:val="00903B7D"/>
    <w:rsid w:val="009051B3"/>
    <w:rsid w:val="00905B4B"/>
    <w:rsid w:val="0090633F"/>
    <w:rsid w:val="0091153B"/>
    <w:rsid w:val="0091319B"/>
    <w:rsid w:val="00922E8D"/>
    <w:rsid w:val="009233E4"/>
    <w:rsid w:val="009260A6"/>
    <w:rsid w:val="009273A1"/>
    <w:rsid w:val="009278F4"/>
    <w:rsid w:val="00931927"/>
    <w:rsid w:val="00932E15"/>
    <w:rsid w:val="00932FF9"/>
    <w:rsid w:val="0093391D"/>
    <w:rsid w:val="009348EC"/>
    <w:rsid w:val="0094156B"/>
    <w:rsid w:val="009424B6"/>
    <w:rsid w:val="009458CE"/>
    <w:rsid w:val="00946422"/>
    <w:rsid w:val="00947F94"/>
    <w:rsid w:val="009538B1"/>
    <w:rsid w:val="00954F19"/>
    <w:rsid w:val="009572B6"/>
    <w:rsid w:val="00962489"/>
    <w:rsid w:val="00963966"/>
    <w:rsid w:val="00964232"/>
    <w:rsid w:val="00972616"/>
    <w:rsid w:val="00982FF8"/>
    <w:rsid w:val="00986BDA"/>
    <w:rsid w:val="00991569"/>
    <w:rsid w:val="00991817"/>
    <w:rsid w:val="0099301F"/>
    <w:rsid w:val="00993FC8"/>
    <w:rsid w:val="009948DB"/>
    <w:rsid w:val="009975A1"/>
    <w:rsid w:val="009A0988"/>
    <w:rsid w:val="009A4302"/>
    <w:rsid w:val="009B2461"/>
    <w:rsid w:val="009B261E"/>
    <w:rsid w:val="009B3574"/>
    <w:rsid w:val="009B3A4D"/>
    <w:rsid w:val="009C4B9C"/>
    <w:rsid w:val="009D64D5"/>
    <w:rsid w:val="009E382B"/>
    <w:rsid w:val="009E5CD7"/>
    <w:rsid w:val="009E7CE2"/>
    <w:rsid w:val="009F6320"/>
    <w:rsid w:val="00A01A65"/>
    <w:rsid w:val="00A051DC"/>
    <w:rsid w:val="00A0778B"/>
    <w:rsid w:val="00A07B27"/>
    <w:rsid w:val="00A105F3"/>
    <w:rsid w:val="00A17970"/>
    <w:rsid w:val="00A21F67"/>
    <w:rsid w:val="00A2203B"/>
    <w:rsid w:val="00A24AAE"/>
    <w:rsid w:val="00A3257D"/>
    <w:rsid w:val="00A33CC0"/>
    <w:rsid w:val="00A40B1A"/>
    <w:rsid w:val="00A42E6A"/>
    <w:rsid w:val="00A43429"/>
    <w:rsid w:val="00A44223"/>
    <w:rsid w:val="00A4461C"/>
    <w:rsid w:val="00A46FC7"/>
    <w:rsid w:val="00A5243C"/>
    <w:rsid w:val="00A548BB"/>
    <w:rsid w:val="00A6156D"/>
    <w:rsid w:val="00A67B5E"/>
    <w:rsid w:val="00A709D3"/>
    <w:rsid w:val="00A70F94"/>
    <w:rsid w:val="00A737E5"/>
    <w:rsid w:val="00A7507A"/>
    <w:rsid w:val="00A75713"/>
    <w:rsid w:val="00A75AA5"/>
    <w:rsid w:val="00A7780D"/>
    <w:rsid w:val="00A81218"/>
    <w:rsid w:val="00A813F8"/>
    <w:rsid w:val="00A859AA"/>
    <w:rsid w:val="00A92EC6"/>
    <w:rsid w:val="00A938D8"/>
    <w:rsid w:val="00A93E73"/>
    <w:rsid w:val="00A9476A"/>
    <w:rsid w:val="00A963DC"/>
    <w:rsid w:val="00AB37B3"/>
    <w:rsid w:val="00AB42A3"/>
    <w:rsid w:val="00AB7251"/>
    <w:rsid w:val="00AC10B4"/>
    <w:rsid w:val="00AC1722"/>
    <w:rsid w:val="00AD2772"/>
    <w:rsid w:val="00AD52F4"/>
    <w:rsid w:val="00AE034B"/>
    <w:rsid w:val="00AE180A"/>
    <w:rsid w:val="00AE1B4B"/>
    <w:rsid w:val="00AE4ADC"/>
    <w:rsid w:val="00AE5C0B"/>
    <w:rsid w:val="00AF1131"/>
    <w:rsid w:val="00AF4C75"/>
    <w:rsid w:val="00B02954"/>
    <w:rsid w:val="00B030CD"/>
    <w:rsid w:val="00B14DDC"/>
    <w:rsid w:val="00B16142"/>
    <w:rsid w:val="00B269AE"/>
    <w:rsid w:val="00B26B8B"/>
    <w:rsid w:val="00B31161"/>
    <w:rsid w:val="00B40DCD"/>
    <w:rsid w:val="00B44792"/>
    <w:rsid w:val="00B47175"/>
    <w:rsid w:val="00B4743D"/>
    <w:rsid w:val="00B52090"/>
    <w:rsid w:val="00B539E1"/>
    <w:rsid w:val="00B57A25"/>
    <w:rsid w:val="00B65B2E"/>
    <w:rsid w:val="00B724E3"/>
    <w:rsid w:val="00B90E27"/>
    <w:rsid w:val="00B93DE2"/>
    <w:rsid w:val="00B95459"/>
    <w:rsid w:val="00B9624F"/>
    <w:rsid w:val="00B962B9"/>
    <w:rsid w:val="00B964FA"/>
    <w:rsid w:val="00BA0EAD"/>
    <w:rsid w:val="00BA24F0"/>
    <w:rsid w:val="00BA3AB1"/>
    <w:rsid w:val="00BA7CA0"/>
    <w:rsid w:val="00BA7FF4"/>
    <w:rsid w:val="00BB58BE"/>
    <w:rsid w:val="00BB67CE"/>
    <w:rsid w:val="00BC3771"/>
    <w:rsid w:val="00BC380A"/>
    <w:rsid w:val="00BD024F"/>
    <w:rsid w:val="00BD136B"/>
    <w:rsid w:val="00BD2916"/>
    <w:rsid w:val="00BE0ACB"/>
    <w:rsid w:val="00BE0DDB"/>
    <w:rsid w:val="00BE3FC5"/>
    <w:rsid w:val="00BE7559"/>
    <w:rsid w:val="00BF077F"/>
    <w:rsid w:val="00BF08A2"/>
    <w:rsid w:val="00BF2E8E"/>
    <w:rsid w:val="00BF3726"/>
    <w:rsid w:val="00BF6AA4"/>
    <w:rsid w:val="00C00460"/>
    <w:rsid w:val="00C04594"/>
    <w:rsid w:val="00C117B7"/>
    <w:rsid w:val="00C12758"/>
    <w:rsid w:val="00C12B8D"/>
    <w:rsid w:val="00C13CB9"/>
    <w:rsid w:val="00C2005D"/>
    <w:rsid w:val="00C217C4"/>
    <w:rsid w:val="00C221CF"/>
    <w:rsid w:val="00C30DB5"/>
    <w:rsid w:val="00C33B68"/>
    <w:rsid w:val="00C3702F"/>
    <w:rsid w:val="00C3747C"/>
    <w:rsid w:val="00C4163D"/>
    <w:rsid w:val="00C43058"/>
    <w:rsid w:val="00C43EB8"/>
    <w:rsid w:val="00C50DD9"/>
    <w:rsid w:val="00C51199"/>
    <w:rsid w:val="00C53580"/>
    <w:rsid w:val="00C5736D"/>
    <w:rsid w:val="00C618B6"/>
    <w:rsid w:val="00C62292"/>
    <w:rsid w:val="00C659B7"/>
    <w:rsid w:val="00C67593"/>
    <w:rsid w:val="00C75112"/>
    <w:rsid w:val="00C77885"/>
    <w:rsid w:val="00C815E2"/>
    <w:rsid w:val="00C831F2"/>
    <w:rsid w:val="00C91873"/>
    <w:rsid w:val="00C92410"/>
    <w:rsid w:val="00C93212"/>
    <w:rsid w:val="00C9332E"/>
    <w:rsid w:val="00C9407D"/>
    <w:rsid w:val="00C95CF3"/>
    <w:rsid w:val="00CA348B"/>
    <w:rsid w:val="00CA4C58"/>
    <w:rsid w:val="00CB5C55"/>
    <w:rsid w:val="00CB73D7"/>
    <w:rsid w:val="00CC2421"/>
    <w:rsid w:val="00CC28F9"/>
    <w:rsid w:val="00CC5701"/>
    <w:rsid w:val="00CC5FE8"/>
    <w:rsid w:val="00CD0904"/>
    <w:rsid w:val="00CD1830"/>
    <w:rsid w:val="00CD2C31"/>
    <w:rsid w:val="00CD79F0"/>
    <w:rsid w:val="00CE0966"/>
    <w:rsid w:val="00CE11E3"/>
    <w:rsid w:val="00CE38DF"/>
    <w:rsid w:val="00CE5908"/>
    <w:rsid w:val="00CE6D8E"/>
    <w:rsid w:val="00CF1147"/>
    <w:rsid w:val="00CF1B47"/>
    <w:rsid w:val="00CF7C77"/>
    <w:rsid w:val="00D12ADB"/>
    <w:rsid w:val="00D155C4"/>
    <w:rsid w:val="00D15FC8"/>
    <w:rsid w:val="00D16256"/>
    <w:rsid w:val="00D17EA1"/>
    <w:rsid w:val="00D21103"/>
    <w:rsid w:val="00D2737B"/>
    <w:rsid w:val="00D324DA"/>
    <w:rsid w:val="00D34195"/>
    <w:rsid w:val="00D35697"/>
    <w:rsid w:val="00D43136"/>
    <w:rsid w:val="00D435C9"/>
    <w:rsid w:val="00D43F03"/>
    <w:rsid w:val="00D44248"/>
    <w:rsid w:val="00D473CC"/>
    <w:rsid w:val="00D52C19"/>
    <w:rsid w:val="00D5539B"/>
    <w:rsid w:val="00D56398"/>
    <w:rsid w:val="00D60D21"/>
    <w:rsid w:val="00D64737"/>
    <w:rsid w:val="00D64E4C"/>
    <w:rsid w:val="00D66E1D"/>
    <w:rsid w:val="00D719B8"/>
    <w:rsid w:val="00D719EC"/>
    <w:rsid w:val="00D72832"/>
    <w:rsid w:val="00D7541F"/>
    <w:rsid w:val="00D75E34"/>
    <w:rsid w:val="00D8255B"/>
    <w:rsid w:val="00D82995"/>
    <w:rsid w:val="00D879EC"/>
    <w:rsid w:val="00D914CB"/>
    <w:rsid w:val="00D930B5"/>
    <w:rsid w:val="00D96940"/>
    <w:rsid w:val="00DA02CA"/>
    <w:rsid w:val="00DA2261"/>
    <w:rsid w:val="00DA23BE"/>
    <w:rsid w:val="00DA25EB"/>
    <w:rsid w:val="00DA52EE"/>
    <w:rsid w:val="00DB1B20"/>
    <w:rsid w:val="00DC1685"/>
    <w:rsid w:val="00DC3E74"/>
    <w:rsid w:val="00DC4960"/>
    <w:rsid w:val="00DC5112"/>
    <w:rsid w:val="00DD4B6E"/>
    <w:rsid w:val="00DE4DC3"/>
    <w:rsid w:val="00DE6A17"/>
    <w:rsid w:val="00DE7B53"/>
    <w:rsid w:val="00DE7F83"/>
    <w:rsid w:val="00DF210C"/>
    <w:rsid w:val="00DF2D45"/>
    <w:rsid w:val="00DF38E6"/>
    <w:rsid w:val="00DF3B02"/>
    <w:rsid w:val="00DF4AA7"/>
    <w:rsid w:val="00DF74B6"/>
    <w:rsid w:val="00E02AFB"/>
    <w:rsid w:val="00E05A41"/>
    <w:rsid w:val="00E10A40"/>
    <w:rsid w:val="00E13900"/>
    <w:rsid w:val="00E22A1B"/>
    <w:rsid w:val="00E24096"/>
    <w:rsid w:val="00E244E5"/>
    <w:rsid w:val="00E353CB"/>
    <w:rsid w:val="00E36FED"/>
    <w:rsid w:val="00E408CA"/>
    <w:rsid w:val="00E40CE4"/>
    <w:rsid w:val="00E412C1"/>
    <w:rsid w:val="00E44331"/>
    <w:rsid w:val="00E45F07"/>
    <w:rsid w:val="00E47110"/>
    <w:rsid w:val="00E475A2"/>
    <w:rsid w:val="00E47C75"/>
    <w:rsid w:val="00E51469"/>
    <w:rsid w:val="00E54EF7"/>
    <w:rsid w:val="00E57B68"/>
    <w:rsid w:val="00E61576"/>
    <w:rsid w:val="00E71382"/>
    <w:rsid w:val="00E802B2"/>
    <w:rsid w:val="00E93E53"/>
    <w:rsid w:val="00E96DEA"/>
    <w:rsid w:val="00EA0B88"/>
    <w:rsid w:val="00EC029F"/>
    <w:rsid w:val="00EC2081"/>
    <w:rsid w:val="00EC2B32"/>
    <w:rsid w:val="00EC3FE6"/>
    <w:rsid w:val="00ED047D"/>
    <w:rsid w:val="00EE5589"/>
    <w:rsid w:val="00EE575E"/>
    <w:rsid w:val="00EE609D"/>
    <w:rsid w:val="00EE756A"/>
    <w:rsid w:val="00EE7F0B"/>
    <w:rsid w:val="00EF07F1"/>
    <w:rsid w:val="00EF5ACC"/>
    <w:rsid w:val="00EF5ADD"/>
    <w:rsid w:val="00F0071C"/>
    <w:rsid w:val="00F017F2"/>
    <w:rsid w:val="00F0441E"/>
    <w:rsid w:val="00F0620D"/>
    <w:rsid w:val="00F068C8"/>
    <w:rsid w:val="00F06945"/>
    <w:rsid w:val="00F16DAC"/>
    <w:rsid w:val="00F25DE3"/>
    <w:rsid w:val="00F30328"/>
    <w:rsid w:val="00F3232D"/>
    <w:rsid w:val="00F32E39"/>
    <w:rsid w:val="00F33999"/>
    <w:rsid w:val="00F428A5"/>
    <w:rsid w:val="00F45168"/>
    <w:rsid w:val="00F5219B"/>
    <w:rsid w:val="00F5294A"/>
    <w:rsid w:val="00F53D03"/>
    <w:rsid w:val="00F61909"/>
    <w:rsid w:val="00F673CB"/>
    <w:rsid w:val="00F7066E"/>
    <w:rsid w:val="00F70850"/>
    <w:rsid w:val="00F7168F"/>
    <w:rsid w:val="00F73A00"/>
    <w:rsid w:val="00F81503"/>
    <w:rsid w:val="00F90BED"/>
    <w:rsid w:val="00F9279A"/>
    <w:rsid w:val="00F92829"/>
    <w:rsid w:val="00F97A89"/>
    <w:rsid w:val="00FB166C"/>
    <w:rsid w:val="00FB2EF0"/>
    <w:rsid w:val="00FB50A2"/>
    <w:rsid w:val="00FC1C0B"/>
    <w:rsid w:val="00FC3FE9"/>
    <w:rsid w:val="00FC63F3"/>
    <w:rsid w:val="00FC7B30"/>
    <w:rsid w:val="00FD37B3"/>
    <w:rsid w:val="00FD5833"/>
    <w:rsid w:val="00FE0F6E"/>
    <w:rsid w:val="00FE132A"/>
    <w:rsid w:val="00FE2CBB"/>
    <w:rsid w:val="00FE53AA"/>
    <w:rsid w:val="00FF0252"/>
    <w:rsid w:val="00FF12B9"/>
    <w:rsid w:val="00FF7242"/>
    <w:rsid w:val="01731A63"/>
    <w:rsid w:val="02224285"/>
    <w:rsid w:val="038E2357"/>
    <w:rsid w:val="04721E5D"/>
    <w:rsid w:val="05917576"/>
    <w:rsid w:val="07340634"/>
    <w:rsid w:val="09AB20B8"/>
    <w:rsid w:val="0C510C09"/>
    <w:rsid w:val="0E8F6605"/>
    <w:rsid w:val="112E27AE"/>
    <w:rsid w:val="11E95BDE"/>
    <w:rsid w:val="195E2B8A"/>
    <w:rsid w:val="1C010097"/>
    <w:rsid w:val="1E7A1B33"/>
    <w:rsid w:val="1F160C7D"/>
    <w:rsid w:val="1FD012DE"/>
    <w:rsid w:val="1FD95180"/>
    <w:rsid w:val="1FE23C20"/>
    <w:rsid w:val="21593E47"/>
    <w:rsid w:val="25B86D95"/>
    <w:rsid w:val="26763870"/>
    <w:rsid w:val="26D06B3A"/>
    <w:rsid w:val="2777107D"/>
    <w:rsid w:val="27FE0F13"/>
    <w:rsid w:val="297E3B0F"/>
    <w:rsid w:val="29943D50"/>
    <w:rsid w:val="2A4E3185"/>
    <w:rsid w:val="2DE73FB5"/>
    <w:rsid w:val="2E09732E"/>
    <w:rsid w:val="2EFB292F"/>
    <w:rsid w:val="2FC760DD"/>
    <w:rsid w:val="30CC723D"/>
    <w:rsid w:val="31CA3CD1"/>
    <w:rsid w:val="33C71215"/>
    <w:rsid w:val="33F06A5F"/>
    <w:rsid w:val="34431B24"/>
    <w:rsid w:val="35122417"/>
    <w:rsid w:val="36C652B4"/>
    <w:rsid w:val="38002751"/>
    <w:rsid w:val="41A46064"/>
    <w:rsid w:val="44B84963"/>
    <w:rsid w:val="45EF0BFE"/>
    <w:rsid w:val="478F589A"/>
    <w:rsid w:val="47C5501E"/>
    <w:rsid w:val="4BB5233E"/>
    <w:rsid w:val="4D391476"/>
    <w:rsid w:val="4DCF06D9"/>
    <w:rsid w:val="4E9714B1"/>
    <w:rsid w:val="4FF6104C"/>
    <w:rsid w:val="50D530FC"/>
    <w:rsid w:val="53CE011D"/>
    <w:rsid w:val="53F37D99"/>
    <w:rsid w:val="548004A3"/>
    <w:rsid w:val="55C96333"/>
    <w:rsid w:val="56FD7C90"/>
    <w:rsid w:val="5B570866"/>
    <w:rsid w:val="5C723442"/>
    <w:rsid w:val="5F3C248B"/>
    <w:rsid w:val="60CF6E27"/>
    <w:rsid w:val="65AF0962"/>
    <w:rsid w:val="664823A3"/>
    <w:rsid w:val="682D273F"/>
    <w:rsid w:val="69DF1FCD"/>
    <w:rsid w:val="6C38220F"/>
    <w:rsid w:val="6EAA5DDB"/>
    <w:rsid w:val="6F643999"/>
    <w:rsid w:val="75C56BE1"/>
    <w:rsid w:val="75FF3B8C"/>
    <w:rsid w:val="77C636D7"/>
    <w:rsid w:val="77E64AC1"/>
    <w:rsid w:val="7A84573F"/>
    <w:rsid w:val="7CC219C0"/>
    <w:rsid w:val="7F3F6CF7"/>
    <w:rsid w:val="7FC67CB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10" w:lineRule="atLeast"/>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uiPriority w:val="99"/>
    <w:pPr>
      <w:ind w:left="100" w:leftChars="2500"/>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line="240" w:lineRule="auto"/>
      <w:jc w:val="left"/>
    </w:pPr>
    <w:rPr>
      <w:rFonts w:ascii="宋体" w:hAnsi="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22"/>
    <w:rPr>
      <w:rFonts w:hint="default" w:ascii="Times New Roman" w:hAnsi="Times New Roman" w:eastAsia="宋体" w:cs="Times New Roman"/>
      <w:b/>
      <w:bCs/>
      <w:sz w:val="24"/>
    </w:rPr>
  </w:style>
  <w:style w:type="character" w:styleId="11">
    <w:name w:val="page number"/>
    <w:semiHidden/>
    <w:unhideWhenUsed/>
    <w:qFormat/>
    <w:uiPriority w:val="99"/>
    <w:rPr>
      <w:rFonts w:cs="Times New Roman"/>
    </w:rPr>
  </w:style>
  <w:style w:type="character" w:customStyle="1" w:styleId="12">
    <w:name w:val="页眉 Char"/>
    <w:link w:val="5"/>
    <w:qFormat/>
    <w:locked/>
    <w:uiPriority w:val="99"/>
    <w:rPr>
      <w:rFonts w:cs="Times New Roman"/>
      <w:sz w:val="18"/>
      <w:szCs w:val="18"/>
    </w:rPr>
  </w:style>
  <w:style w:type="character" w:customStyle="1" w:styleId="13">
    <w:name w:val="页脚 Char"/>
    <w:link w:val="4"/>
    <w:qFormat/>
    <w:locked/>
    <w:uiPriority w:val="99"/>
    <w:rPr>
      <w:rFonts w:cs="Times New Roman"/>
      <w:sz w:val="18"/>
      <w:szCs w:val="18"/>
    </w:rPr>
  </w:style>
  <w:style w:type="character" w:customStyle="1" w:styleId="14">
    <w:name w:val="日期 Char"/>
    <w:link w:val="2"/>
    <w:qFormat/>
    <w:locked/>
    <w:uiPriority w:val="99"/>
    <w:rPr>
      <w:rFonts w:ascii="Calibri" w:hAnsi="Calibri" w:eastAsia="宋体" w:cs="Times New Roman"/>
    </w:rPr>
  </w:style>
  <w:style w:type="table" w:customStyle="1" w:styleId="15">
    <w:name w:val="网格型1"/>
    <w:qFormat/>
    <w:uiPriority w:val="99"/>
    <w:pPr>
      <w:widowControl w:val="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列出段落1"/>
    <w:basedOn w:val="1"/>
    <w:qFormat/>
    <w:uiPriority w:val="99"/>
    <w:pPr>
      <w:ind w:firstLine="420" w:firstLineChars="200"/>
    </w:pPr>
    <w:rPr>
      <w:rFonts w:ascii="Times New Roman" w:hAnsi="Times New Roman"/>
      <w:szCs w:val="24"/>
    </w:rPr>
  </w:style>
  <w:style w:type="character" w:customStyle="1" w:styleId="17">
    <w:name w:val="批注框文本 Char"/>
    <w:link w:val="3"/>
    <w:semiHidden/>
    <w:qFormat/>
    <w:locked/>
    <w:uiPriority w:val="99"/>
    <w:rPr>
      <w:rFonts w:ascii="Calibri" w:hAnsi="Calibri" w:eastAsia="宋体" w:cs="Times New Roman"/>
      <w:sz w:val="18"/>
      <w:szCs w:val="18"/>
    </w:rPr>
  </w:style>
  <w:style w:type="character" w:customStyle="1" w:styleId="18">
    <w:name w:val="Balloon Text Char1"/>
    <w:semiHidden/>
    <w:qFormat/>
    <w:uiPriority w:val="99"/>
    <w:rPr>
      <w:sz w:val="0"/>
      <w:szCs w:val="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285A15-721B-45E4-910B-89A5DC218895}">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15</Pages>
  <Words>7496</Words>
  <Characters>7617</Characters>
  <Lines>57</Lines>
  <Paragraphs>16</Paragraphs>
  <TotalTime>0</TotalTime>
  <ScaleCrop>false</ScaleCrop>
  <LinksUpToDate>false</LinksUpToDate>
  <CharactersWithSpaces>7749</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鱼小鱼丫</cp:lastModifiedBy>
  <dcterms:modified xsi:type="dcterms:W3CDTF">2022-11-07T07:52:34Z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D370C30EB2984282BC4995D0F4304A25</vt:lpwstr>
  </property>
</Properties>
</file>